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C2" w:rsidRDefault="00820A8A" w:rsidP="006A64C2">
      <w:pPr>
        <w:jc w:val="right"/>
        <w:rPr>
          <w:b/>
          <w:caps/>
          <w:sz w:val="28"/>
          <w:szCs w:val="28"/>
        </w:rPr>
      </w:pPr>
      <w:r w:rsidRPr="00C87C4A">
        <w:rPr>
          <w:noProof/>
          <w:lang w:eastAsia="en-GB"/>
        </w:rPr>
        <w:drawing>
          <wp:inline distT="0" distB="0" distL="0" distR="0">
            <wp:extent cx="1957070" cy="1139825"/>
            <wp:effectExtent l="0" t="0" r="5080" b="3175"/>
            <wp:docPr id="1" name="Picture 21" descr="finance-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nance-biling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139825"/>
                    </a:xfrm>
                    <a:prstGeom prst="rect">
                      <a:avLst/>
                    </a:prstGeom>
                    <a:noFill/>
                    <a:ln>
                      <a:noFill/>
                    </a:ln>
                  </pic:spPr>
                </pic:pic>
              </a:graphicData>
            </a:graphic>
          </wp:inline>
        </w:drawing>
      </w:r>
    </w:p>
    <w:p w:rsidR="006A64C2" w:rsidRDefault="006A64C2" w:rsidP="00BF0758">
      <w:pPr>
        <w:rPr>
          <w:b/>
          <w:caps/>
          <w:sz w:val="28"/>
          <w:szCs w:val="28"/>
        </w:rPr>
      </w:pPr>
    </w:p>
    <w:p w:rsidR="006A64C2" w:rsidRDefault="006A64C2" w:rsidP="00BF0758">
      <w:pPr>
        <w:rPr>
          <w:b/>
          <w:caps/>
          <w:sz w:val="28"/>
          <w:szCs w:val="28"/>
        </w:rPr>
      </w:pPr>
    </w:p>
    <w:p w:rsidR="00F342E6" w:rsidRDefault="00F342E6" w:rsidP="00E23F9A">
      <w:pPr>
        <w:jc w:val="center"/>
        <w:rPr>
          <w:b/>
          <w:caps/>
          <w:sz w:val="40"/>
          <w:szCs w:val="40"/>
        </w:rPr>
      </w:pPr>
    </w:p>
    <w:p w:rsidR="00F342E6" w:rsidRDefault="00F342E6" w:rsidP="00E23F9A">
      <w:pPr>
        <w:jc w:val="center"/>
        <w:rPr>
          <w:b/>
          <w:caps/>
          <w:sz w:val="40"/>
          <w:szCs w:val="40"/>
        </w:rPr>
      </w:pPr>
    </w:p>
    <w:p w:rsidR="00F342E6" w:rsidRDefault="00F342E6" w:rsidP="00E23F9A">
      <w:pPr>
        <w:jc w:val="center"/>
        <w:rPr>
          <w:b/>
          <w:caps/>
          <w:sz w:val="40"/>
          <w:szCs w:val="40"/>
        </w:rPr>
      </w:pPr>
    </w:p>
    <w:p w:rsidR="006A64C2" w:rsidRPr="00553819" w:rsidRDefault="006A64C2" w:rsidP="00E23F9A">
      <w:pPr>
        <w:jc w:val="center"/>
        <w:rPr>
          <w:b/>
          <w:caps/>
          <w:sz w:val="40"/>
          <w:szCs w:val="40"/>
        </w:rPr>
      </w:pPr>
      <w:r w:rsidRPr="00553819">
        <w:rPr>
          <w:b/>
          <w:caps/>
          <w:sz w:val="40"/>
          <w:szCs w:val="40"/>
        </w:rPr>
        <w:t>Advisory Note</w:t>
      </w:r>
    </w:p>
    <w:p w:rsidR="006A64C2" w:rsidRPr="00553819" w:rsidRDefault="006A64C2" w:rsidP="00E23F9A">
      <w:pPr>
        <w:jc w:val="center"/>
        <w:rPr>
          <w:b/>
          <w:caps/>
          <w:sz w:val="40"/>
          <w:szCs w:val="40"/>
        </w:rPr>
      </w:pPr>
    </w:p>
    <w:p w:rsidR="006A64C2" w:rsidRPr="00553819" w:rsidRDefault="006A64C2" w:rsidP="00E23F9A">
      <w:pPr>
        <w:jc w:val="center"/>
        <w:rPr>
          <w:b/>
          <w:caps/>
          <w:sz w:val="40"/>
          <w:szCs w:val="40"/>
        </w:rPr>
      </w:pPr>
      <w:r w:rsidRPr="00553819">
        <w:rPr>
          <w:b/>
          <w:caps/>
          <w:sz w:val="40"/>
          <w:szCs w:val="40"/>
        </w:rPr>
        <w:t>CONSTRUCTION Supplier Profile Certificates</w:t>
      </w:r>
    </w:p>
    <w:p w:rsidR="006A64C2" w:rsidRDefault="006A64C2" w:rsidP="00553819">
      <w:pPr>
        <w:jc w:val="center"/>
        <w:rPr>
          <w:b/>
          <w:sz w:val="28"/>
          <w:szCs w:val="28"/>
        </w:rPr>
      </w:pPr>
    </w:p>
    <w:p w:rsidR="00F342E6" w:rsidRDefault="00F342E6" w:rsidP="006A64C2">
      <w:pPr>
        <w:rPr>
          <w:b/>
          <w:sz w:val="28"/>
          <w:szCs w:val="28"/>
        </w:rPr>
      </w:pPr>
    </w:p>
    <w:p w:rsidR="00F342E6" w:rsidRDefault="00F342E6" w:rsidP="006A64C2">
      <w:pPr>
        <w:rPr>
          <w:b/>
          <w:sz w:val="28"/>
          <w:szCs w:val="28"/>
        </w:rPr>
      </w:pPr>
    </w:p>
    <w:p w:rsidR="006A64C2" w:rsidRDefault="006A64C2" w:rsidP="006A64C2">
      <w:pPr>
        <w:rPr>
          <w:b/>
          <w:sz w:val="28"/>
          <w:szCs w:val="28"/>
        </w:rPr>
      </w:pPr>
      <w:r>
        <w:rPr>
          <w:b/>
          <w:sz w:val="28"/>
          <w:szCs w:val="28"/>
        </w:rPr>
        <w:t>This advisory note is to assist suppliers with the completion of the following Supplier Profile Certificates</w:t>
      </w:r>
      <w:r w:rsidR="00E23F9A">
        <w:rPr>
          <w:b/>
          <w:sz w:val="28"/>
          <w:szCs w:val="28"/>
        </w:rPr>
        <w:t xml:space="preserve"> on the eTendersNI portal.</w:t>
      </w:r>
    </w:p>
    <w:p w:rsidR="00553819" w:rsidRDefault="00553819" w:rsidP="006A64C2">
      <w:pPr>
        <w:rPr>
          <w:b/>
          <w:sz w:val="28"/>
          <w:szCs w:val="28"/>
        </w:rPr>
      </w:pPr>
    </w:p>
    <w:p w:rsidR="006A64C2" w:rsidRDefault="006A64C2" w:rsidP="006A64C2">
      <w:pPr>
        <w:rPr>
          <w:b/>
          <w:sz w:val="28"/>
          <w:szCs w:val="28"/>
        </w:rPr>
      </w:pPr>
    </w:p>
    <w:p w:rsidR="00CA2970" w:rsidRPr="00553819" w:rsidRDefault="00CA2970" w:rsidP="00553819">
      <w:pPr>
        <w:jc w:val="both"/>
        <w:rPr>
          <w:rFonts w:cs="Arial"/>
          <w:b/>
          <w:sz w:val="28"/>
          <w:szCs w:val="28"/>
        </w:rPr>
      </w:pPr>
      <w:r w:rsidRPr="00CA2970">
        <w:rPr>
          <w:rFonts w:cs="Arial"/>
          <w:b/>
          <w:sz w:val="28"/>
          <w:szCs w:val="28"/>
        </w:rPr>
        <w:t>B3</w:t>
      </w:r>
      <w:r w:rsidR="00221BA1">
        <w:rPr>
          <w:rFonts w:cs="Arial"/>
          <w:b/>
          <w:sz w:val="28"/>
          <w:szCs w:val="28"/>
        </w:rPr>
        <w:t>.</w:t>
      </w:r>
      <w:r w:rsidRPr="00553819">
        <w:rPr>
          <w:rFonts w:cs="Arial"/>
          <w:b/>
          <w:sz w:val="28"/>
          <w:szCs w:val="28"/>
        </w:rPr>
        <w:t xml:space="preserve">  </w:t>
      </w:r>
      <w:r w:rsidR="00221BA1">
        <w:rPr>
          <w:rFonts w:cs="Arial"/>
          <w:b/>
          <w:sz w:val="28"/>
          <w:szCs w:val="28"/>
        </w:rPr>
        <w:t xml:space="preserve">Public Sector </w:t>
      </w:r>
      <w:bookmarkStart w:id="0" w:name="_GoBack"/>
      <w:bookmarkEnd w:id="0"/>
      <w:r w:rsidR="00221BA1">
        <w:rPr>
          <w:rFonts w:cs="Arial"/>
          <w:b/>
          <w:sz w:val="28"/>
          <w:szCs w:val="28"/>
        </w:rPr>
        <w:t xml:space="preserve">- </w:t>
      </w:r>
      <w:r w:rsidRPr="00553819">
        <w:rPr>
          <w:rFonts w:cs="Arial"/>
          <w:b/>
          <w:sz w:val="28"/>
          <w:szCs w:val="28"/>
        </w:rPr>
        <w:t>Mandatory Exclusion [A]</w:t>
      </w:r>
      <w:r w:rsidR="00221BA1">
        <w:rPr>
          <w:rFonts w:cs="Arial"/>
          <w:b/>
          <w:sz w:val="28"/>
          <w:szCs w:val="28"/>
        </w:rPr>
        <w:t xml:space="preserve"> 2017</w:t>
      </w:r>
    </w:p>
    <w:p w:rsidR="00553819" w:rsidRDefault="00553819" w:rsidP="00553819">
      <w:pPr>
        <w:jc w:val="both"/>
        <w:rPr>
          <w:b/>
          <w:sz w:val="28"/>
          <w:szCs w:val="28"/>
        </w:rPr>
      </w:pPr>
      <w:r w:rsidRPr="00A754D6">
        <w:rPr>
          <w:rFonts w:eastAsia="Calibri" w:cs="Arial"/>
          <w:sz w:val="22"/>
          <w:szCs w:val="22"/>
        </w:rPr>
        <w:t>[A] – Above Threshold procurements</w:t>
      </w:r>
    </w:p>
    <w:p w:rsidR="00CA2970" w:rsidRPr="00553819" w:rsidRDefault="00CA2970" w:rsidP="00553819">
      <w:pPr>
        <w:jc w:val="both"/>
        <w:rPr>
          <w:rFonts w:cs="Arial"/>
          <w:b/>
          <w:sz w:val="28"/>
          <w:szCs w:val="28"/>
        </w:rPr>
      </w:pPr>
    </w:p>
    <w:p w:rsidR="00CA2970" w:rsidRDefault="00CA2970" w:rsidP="00553819">
      <w:pPr>
        <w:jc w:val="both"/>
        <w:rPr>
          <w:rFonts w:eastAsia="Calibri" w:cs="Arial"/>
          <w:b/>
          <w:sz w:val="28"/>
          <w:szCs w:val="28"/>
        </w:rPr>
      </w:pPr>
      <w:r w:rsidRPr="00553819">
        <w:rPr>
          <w:rFonts w:cs="Arial"/>
          <w:b/>
          <w:sz w:val="28"/>
          <w:szCs w:val="28"/>
        </w:rPr>
        <w:t>B4</w:t>
      </w:r>
      <w:r w:rsidR="00221BA1">
        <w:rPr>
          <w:rFonts w:cs="Arial"/>
          <w:b/>
          <w:sz w:val="28"/>
          <w:szCs w:val="28"/>
        </w:rPr>
        <w:t xml:space="preserve">. </w:t>
      </w:r>
      <w:r w:rsidRPr="00553819">
        <w:rPr>
          <w:rFonts w:cs="Arial"/>
          <w:b/>
          <w:sz w:val="28"/>
          <w:szCs w:val="28"/>
        </w:rPr>
        <w:t xml:space="preserve"> </w:t>
      </w:r>
      <w:r w:rsidR="00221BA1" w:rsidRPr="00553819">
        <w:rPr>
          <w:rFonts w:eastAsia="Calibri" w:cs="Arial"/>
          <w:b/>
          <w:sz w:val="28"/>
          <w:szCs w:val="28"/>
        </w:rPr>
        <w:t>Public Sector – Discretionary Exclusion [A] 2017</w:t>
      </w:r>
    </w:p>
    <w:p w:rsidR="00553819" w:rsidRDefault="00553819" w:rsidP="00553819">
      <w:pPr>
        <w:jc w:val="both"/>
        <w:rPr>
          <w:b/>
          <w:sz w:val="28"/>
          <w:szCs w:val="28"/>
        </w:rPr>
      </w:pPr>
      <w:r w:rsidRPr="00A754D6">
        <w:rPr>
          <w:rFonts w:eastAsia="Calibri" w:cs="Arial"/>
          <w:sz w:val="22"/>
          <w:szCs w:val="22"/>
        </w:rPr>
        <w:t>[A] – Above Threshold procurements</w:t>
      </w:r>
    </w:p>
    <w:p w:rsidR="00221BA1" w:rsidRDefault="00221BA1" w:rsidP="00553819">
      <w:pPr>
        <w:jc w:val="both"/>
        <w:rPr>
          <w:rFonts w:eastAsia="Calibri" w:cs="Arial"/>
          <w:b/>
          <w:sz w:val="28"/>
          <w:szCs w:val="28"/>
        </w:rPr>
      </w:pPr>
    </w:p>
    <w:p w:rsidR="00553819" w:rsidRPr="00F342E6" w:rsidRDefault="00540205" w:rsidP="00F342E6">
      <w:pPr>
        <w:rPr>
          <w:rFonts w:ascii="Arial Bold" w:hAnsi="Arial Bold"/>
          <w:b/>
          <w:caps/>
          <w:sz w:val="32"/>
          <w:szCs w:val="32"/>
        </w:rPr>
      </w:pPr>
      <w:r>
        <w:br w:type="page"/>
      </w:r>
      <w:r w:rsidR="00221BA1" w:rsidRPr="00F342E6">
        <w:rPr>
          <w:rFonts w:ascii="Arial Bold" w:hAnsi="Arial Bold"/>
          <w:b/>
          <w:caps/>
          <w:sz w:val="32"/>
          <w:szCs w:val="32"/>
        </w:rPr>
        <w:t>ABOVE EU THREHOLD</w:t>
      </w:r>
      <w:r w:rsidR="00221BA1" w:rsidRPr="00F342E6" w:rsidDel="00364C6E">
        <w:rPr>
          <w:rFonts w:ascii="Arial Bold" w:hAnsi="Arial Bold"/>
          <w:b/>
          <w:caps/>
          <w:sz w:val="32"/>
          <w:szCs w:val="32"/>
        </w:rPr>
        <w:t xml:space="preserve"> </w:t>
      </w:r>
      <w:r w:rsidR="00221BA1" w:rsidRPr="00F342E6">
        <w:rPr>
          <w:rFonts w:ascii="Arial Bold" w:hAnsi="Arial Bold"/>
          <w:b/>
          <w:caps/>
          <w:sz w:val="32"/>
          <w:szCs w:val="32"/>
        </w:rPr>
        <w:t>mandatory exclusion</w:t>
      </w:r>
    </w:p>
    <w:p w:rsidR="00553819" w:rsidRPr="00553819" w:rsidRDefault="00553819" w:rsidP="00553819">
      <w:pPr>
        <w:rPr>
          <w:lang w:eastAsia="en-GB"/>
        </w:rPr>
      </w:pPr>
    </w:p>
    <w:p w:rsidR="003A0376" w:rsidRDefault="003A0376" w:rsidP="00553819">
      <w:pPr>
        <w:rPr>
          <w:color w:val="002060"/>
        </w:rPr>
      </w:pPr>
      <w:r>
        <w:rPr>
          <w:color w:val="002060"/>
        </w:rPr>
        <w:t>Application:</w:t>
      </w:r>
    </w:p>
    <w:p w:rsidR="003A0376" w:rsidRDefault="003A0376" w:rsidP="00553819">
      <w:pPr>
        <w:rPr>
          <w:color w:val="002060"/>
        </w:rPr>
      </w:pPr>
    </w:p>
    <w:p w:rsidR="00335E12" w:rsidRDefault="00553819" w:rsidP="00553819">
      <w:pPr>
        <w:rPr>
          <w:color w:val="002060"/>
        </w:rPr>
      </w:pPr>
      <w:r w:rsidRPr="00A754D6">
        <w:rPr>
          <w:color w:val="002060"/>
        </w:rPr>
        <w:t xml:space="preserve">This certificate will be used on all </w:t>
      </w:r>
      <w:r w:rsidR="003A0376" w:rsidRPr="00A754D6">
        <w:rPr>
          <w:color w:val="002060"/>
        </w:rPr>
        <w:t xml:space="preserve">works procurements </w:t>
      </w:r>
      <w:r w:rsidRPr="00A754D6">
        <w:rPr>
          <w:color w:val="002060"/>
        </w:rPr>
        <w:t>above EU threshold.</w:t>
      </w:r>
    </w:p>
    <w:p w:rsidR="00335E12" w:rsidRDefault="00335E12" w:rsidP="00553819">
      <w:pPr>
        <w:rPr>
          <w:color w:val="002060"/>
        </w:rPr>
      </w:pPr>
    </w:p>
    <w:p w:rsidR="00335E12" w:rsidRDefault="00335E12" w:rsidP="00553819">
      <w:pPr>
        <w:rPr>
          <w:color w:val="002060"/>
        </w:rPr>
      </w:pPr>
      <w:r>
        <w:rPr>
          <w:color w:val="002060"/>
        </w:rPr>
        <w:t>Supplier Profile Certificates B3 and B4 set out Mandatory (B3) and Discretionary (B4) reasons why a Centre of Procurement Expertise will exclude an Economic Operator from a procurement process.</w:t>
      </w:r>
    </w:p>
    <w:p w:rsidR="00335E12" w:rsidRDefault="00335E12" w:rsidP="00553819">
      <w:pPr>
        <w:rPr>
          <w:color w:val="002060"/>
        </w:rPr>
      </w:pPr>
    </w:p>
    <w:p w:rsidR="002E3554" w:rsidRDefault="002E3554" w:rsidP="00553819">
      <w:pPr>
        <w:rPr>
          <w:color w:val="002060"/>
        </w:rPr>
      </w:pPr>
      <w:r>
        <w:rPr>
          <w:color w:val="002060"/>
        </w:rPr>
        <w:t xml:space="preserve">Mandatory reasons for exclusion </w:t>
      </w:r>
      <w:r w:rsidR="00335E12">
        <w:rPr>
          <w:color w:val="002060"/>
        </w:rPr>
        <w:t xml:space="preserve">include conviction </w:t>
      </w:r>
      <w:r>
        <w:rPr>
          <w:color w:val="002060"/>
        </w:rPr>
        <w:t>of individuals for certain offences, non-payment of taxes and poor past performance.</w:t>
      </w:r>
    </w:p>
    <w:p w:rsidR="00B43B89" w:rsidRDefault="00B43B89" w:rsidP="00553819">
      <w:pPr>
        <w:rPr>
          <w:color w:val="002060"/>
        </w:rPr>
      </w:pPr>
    </w:p>
    <w:p w:rsidR="00335E12" w:rsidRDefault="00B43B89" w:rsidP="00553819">
      <w:pPr>
        <w:rPr>
          <w:color w:val="002060"/>
        </w:rPr>
      </w:pPr>
      <w:r>
        <w:rPr>
          <w:color w:val="002060"/>
        </w:rPr>
        <w:t xml:space="preserve">Full details are </w:t>
      </w:r>
      <w:r w:rsidR="00335E12">
        <w:rPr>
          <w:color w:val="002060"/>
        </w:rPr>
        <w:t>set out below</w:t>
      </w:r>
      <w:r w:rsidR="00540205">
        <w:rPr>
          <w:color w:val="002060"/>
        </w:rPr>
        <w:t>.</w:t>
      </w:r>
    </w:p>
    <w:p w:rsidR="00CA2970" w:rsidRPr="00540205" w:rsidRDefault="00CA2970" w:rsidP="00553819">
      <w:pPr>
        <w:pStyle w:val="Heading3"/>
        <w:numPr>
          <w:ilvl w:val="0"/>
          <w:numId w:val="0"/>
        </w:numPr>
        <w:rPr>
          <w:color w:val="auto"/>
          <w:sz w:val="36"/>
          <w:szCs w:val="36"/>
        </w:rPr>
      </w:pPr>
    </w:p>
    <w:p w:rsidR="00CA2970" w:rsidRDefault="00CA2970" w:rsidP="00335E12">
      <w:pPr>
        <w:pStyle w:val="BodyText"/>
        <w:ind w:left="720"/>
        <w:rPr>
          <w:rFonts w:ascii="Arial Narrow" w:hAnsi="Arial Narrow"/>
          <w:b/>
          <w:sz w:val="32"/>
          <w:szCs w:val="32"/>
          <w:u w:val="single"/>
        </w:rPr>
      </w:pPr>
      <w:r w:rsidRPr="00553819">
        <w:rPr>
          <w:rFonts w:ascii="Arial Narrow" w:hAnsi="Arial Narrow"/>
          <w:b/>
          <w:sz w:val="32"/>
          <w:szCs w:val="32"/>
          <w:u w:val="single"/>
        </w:rPr>
        <w:t>B3</w:t>
      </w:r>
      <w:r w:rsidR="00221BA1" w:rsidRPr="00553819">
        <w:rPr>
          <w:rFonts w:ascii="Arial Narrow" w:hAnsi="Arial Narrow"/>
          <w:b/>
          <w:sz w:val="32"/>
          <w:szCs w:val="32"/>
          <w:u w:val="single"/>
        </w:rPr>
        <w:t>.</w:t>
      </w:r>
      <w:r w:rsidRPr="00553819">
        <w:rPr>
          <w:rFonts w:ascii="Arial Narrow" w:hAnsi="Arial Narrow"/>
          <w:b/>
          <w:sz w:val="32"/>
          <w:szCs w:val="32"/>
          <w:u w:val="single"/>
        </w:rPr>
        <w:t xml:space="preserve"> </w:t>
      </w:r>
      <w:r w:rsidR="00221BA1" w:rsidRPr="00553819">
        <w:rPr>
          <w:rFonts w:ascii="Arial Narrow" w:hAnsi="Arial Narrow"/>
          <w:b/>
          <w:sz w:val="32"/>
          <w:szCs w:val="32"/>
          <w:u w:val="single"/>
        </w:rPr>
        <w:t xml:space="preserve">Public Sector </w:t>
      </w:r>
      <w:r w:rsidRPr="00553819">
        <w:rPr>
          <w:rFonts w:ascii="Arial Narrow" w:hAnsi="Arial Narrow"/>
          <w:b/>
          <w:sz w:val="32"/>
          <w:szCs w:val="32"/>
          <w:u w:val="single"/>
        </w:rPr>
        <w:t xml:space="preserve">Mandatory Exclusion [A] </w:t>
      </w:r>
      <w:r w:rsidR="00221BA1" w:rsidRPr="00553819">
        <w:rPr>
          <w:rFonts w:ascii="Arial Narrow" w:hAnsi="Arial Narrow"/>
          <w:b/>
          <w:sz w:val="32"/>
          <w:szCs w:val="32"/>
          <w:u w:val="single"/>
        </w:rPr>
        <w:t>2017</w:t>
      </w:r>
    </w:p>
    <w:p w:rsidR="00553819" w:rsidRPr="00553819" w:rsidRDefault="00553819" w:rsidP="00335E12">
      <w:pPr>
        <w:ind w:left="720"/>
        <w:rPr>
          <w:color w:val="002060"/>
        </w:rPr>
      </w:pPr>
    </w:p>
    <w:p w:rsidR="00CA2970" w:rsidRPr="006E6AD9" w:rsidRDefault="00CA2970" w:rsidP="00335E12">
      <w:pPr>
        <w:ind w:left="720"/>
      </w:pPr>
      <w:r w:rsidRPr="006E6AD9">
        <w:t xml:space="preserve">The Contracting Authority will exclude Economic Operators from the </w:t>
      </w:r>
      <w:r w:rsidR="003A0376">
        <w:t xml:space="preserve">procurement </w:t>
      </w:r>
      <w:r w:rsidRPr="006E6AD9">
        <w:t>process if they have been convicted of any of the offences listed in regulations 57(1)(a) – 57(1)(n), and 57(3) of the Public Contracts Regulations 2015.</w:t>
      </w:r>
    </w:p>
    <w:p w:rsidR="00CA2970" w:rsidRPr="006E6AD9" w:rsidRDefault="00CA2970" w:rsidP="00335E12">
      <w:pPr>
        <w:ind w:left="720"/>
      </w:pPr>
    </w:p>
    <w:p w:rsidR="00CA2970" w:rsidRPr="00553819" w:rsidRDefault="00CA2970" w:rsidP="00335E12">
      <w:pPr>
        <w:pStyle w:val="CommentText"/>
        <w:ind w:left="720"/>
        <w:rPr>
          <w:rFonts w:cs="Arial"/>
          <w:b/>
          <w:szCs w:val="24"/>
        </w:rPr>
      </w:pPr>
      <w:r w:rsidRPr="006E6AD9">
        <w:rPr>
          <w:rFonts w:cs="Arial"/>
          <w:b/>
          <w:szCs w:val="24"/>
        </w:rPr>
        <w:t>The Contracting Authority will treat as ineligible and shall not select an Economic Operator if the Economic Operator (or any parent company / affiliates / Other Entities whose capacities it is relying upon) or any of its directors (of a company), partners (of a firm) or anyone who ha</w:t>
      </w:r>
      <w:r>
        <w:rPr>
          <w:rFonts w:cs="Arial"/>
          <w:b/>
          <w:szCs w:val="24"/>
        </w:rPr>
        <w:t>s</w:t>
      </w:r>
      <w:r w:rsidRPr="006E6AD9">
        <w:rPr>
          <w:rFonts w:cs="Arial"/>
          <w:b/>
          <w:szCs w:val="24"/>
        </w:rPr>
        <w:t xml:space="preserve"> powers of representation, decision or control has been convicted of any of the offences set out in paragraphs (a) to (n)</w:t>
      </w:r>
      <w:r w:rsidRPr="006E6AD9">
        <w:t xml:space="preserve"> </w:t>
      </w:r>
      <w:r w:rsidRPr="006E6AD9">
        <w:rPr>
          <w:rFonts w:cs="Arial"/>
          <w:b/>
          <w:szCs w:val="24"/>
        </w:rPr>
        <w:t>below:</w:t>
      </w:r>
    </w:p>
    <w:p w:rsidR="00CA2970" w:rsidRPr="006E6AD9" w:rsidRDefault="00CA2970" w:rsidP="00335E12">
      <w:pPr>
        <w:pStyle w:val="List2"/>
        <w:ind w:left="1429" w:firstLine="0"/>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p w:rsidR="000A564F" w:rsidRPr="006E6AD9" w:rsidRDefault="000A564F" w:rsidP="000A564F">
      <w:pPr>
        <w:pStyle w:val="ListParagraph"/>
        <w:autoSpaceDE w:val="0"/>
        <w:autoSpaceDN w:val="0"/>
        <w:adjustRightInd w:val="0"/>
        <w:ind w:left="1429"/>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corruption within the meaning of section 1(2) of the Public Bodies Corrupt Practices Act 1889 or section 1 of the Prevention of Corruption Act 1906;</w:t>
      </w:r>
    </w:p>
    <w:p w:rsidR="000A564F" w:rsidRPr="006E6AD9" w:rsidRDefault="000A564F" w:rsidP="000A564F">
      <w:pPr>
        <w:pStyle w:val="ListParagraph"/>
        <w:autoSpaceDE w:val="0"/>
        <w:autoSpaceDN w:val="0"/>
        <w:adjustRightInd w:val="0"/>
        <w:ind w:left="0"/>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the common law offence of bribery;</w:t>
      </w:r>
    </w:p>
    <w:p w:rsidR="000A564F" w:rsidRPr="006E6AD9" w:rsidRDefault="000A564F" w:rsidP="000A564F">
      <w:pPr>
        <w:pStyle w:val="ListParagraph"/>
        <w:autoSpaceDE w:val="0"/>
        <w:autoSpaceDN w:val="0"/>
        <w:adjustRightInd w:val="0"/>
        <w:ind w:left="1429"/>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bribery within the meaning of sections 1, 2 or 6 of the Bribery Act 2010, or section 113 of the Representation of the People Act 1983;</w:t>
      </w:r>
    </w:p>
    <w:p w:rsidR="000A564F" w:rsidRPr="006E6AD9" w:rsidRDefault="000A564F" w:rsidP="000A564F">
      <w:pPr>
        <w:pStyle w:val="ListParagraph"/>
        <w:autoSpaceDE w:val="0"/>
        <w:autoSpaceDN w:val="0"/>
        <w:adjustRightInd w:val="0"/>
        <w:ind w:left="0"/>
        <w:contextualSpacing/>
        <w:rPr>
          <w:rFonts w:cs="Arial"/>
        </w:rPr>
      </w:pPr>
    </w:p>
    <w:p w:rsidR="00CA2970" w:rsidRPr="006E6AD9"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where the offence relates to fraud affecting the European Communities’ financial interests as defined by Article 1 of the Convention on the protection of the financial interests of the European Communities:—</w:t>
      </w:r>
    </w:p>
    <w:p w:rsidR="00CA2970" w:rsidRPr="006E6AD9" w:rsidRDefault="00CA2970" w:rsidP="00335E12">
      <w:pPr>
        <w:pStyle w:val="ListParagraph"/>
        <w:numPr>
          <w:ilvl w:val="0"/>
          <w:numId w:val="43"/>
        </w:numPr>
        <w:autoSpaceDE w:val="0"/>
        <w:autoSpaceDN w:val="0"/>
        <w:adjustRightInd w:val="0"/>
        <w:ind w:left="2138" w:hanging="284"/>
        <w:contextualSpacing/>
        <w:rPr>
          <w:rFonts w:cs="Arial"/>
        </w:rPr>
      </w:pPr>
      <w:r w:rsidRPr="006E6AD9">
        <w:rPr>
          <w:rFonts w:cs="Arial"/>
        </w:rPr>
        <w:t>the common law offence of cheating the Revenue;</w:t>
      </w:r>
    </w:p>
    <w:p w:rsidR="00CA2970" w:rsidRPr="006E6AD9" w:rsidRDefault="00CA2970" w:rsidP="00335E12">
      <w:pPr>
        <w:pStyle w:val="ListParagraph"/>
        <w:numPr>
          <w:ilvl w:val="0"/>
          <w:numId w:val="43"/>
        </w:numPr>
        <w:autoSpaceDE w:val="0"/>
        <w:autoSpaceDN w:val="0"/>
        <w:adjustRightInd w:val="0"/>
        <w:ind w:left="2138" w:hanging="284"/>
        <w:contextualSpacing/>
        <w:rPr>
          <w:rFonts w:cs="Arial"/>
        </w:rPr>
      </w:pPr>
      <w:r w:rsidRPr="006E6AD9">
        <w:rPr>
          <w:rFonts w:cs="Arial"/>
        </w:rPr>
        <w:t>the common law offence of conspiracy to defraud;</w:t>
      </w:r>
    </w:p>
    <w:p w:rsidR="00CA2970" w:rsidRPr="006E6AD9" w:rsidRDefault="00CA2970" w:rsidP="00335E12">
      <w:pPr>
        <w:pStyle w:val="ListParagraph"/>
        <w:numPr>
          <w:ilvl w:val="0"/>
          <w:numId w:val="43"/>
        </w:numPr>
        <w:autoSpaceDE w:val="0"/>
        <w:autoSpaceDN w:val="0"/>
        <w:adjustRightInd w:val="0"/>
        <w:ind w:left="2138" w:hanging="284"/>
        <w:contextualSpacing/>
        <w:rPr>
          <w:rFonts w:cs="Arial"/>
        </w:rPr>
      </w:pPr>
      <w:r w:rsidRPr="006E6AD9">
        <w:rPr>
          <w:rFonts w:cs="Arial"/>
        </w:rPr>
        <w:t>fraud or theft within the meaning of the Theft Act 1968(i), the Theft Act (Northern Ireland) 1969, the Theft Act 1978 or the Theft (Northern Ireland) Order1978;</w:t>
      </w:r>
    </w:p>
    <w:p w:rsidR="00CA2970" w:rsidRDefault="00CA2970" w:rsidP="00335E12">
      <w:pPr>
        <w:pStyle w:val="ListParagraph"/>
        <w:numPr>
          <w:ilvl w:val="0"/>
          <w:numId w:val="43"/>
        </w:numPr>
        <w:autoSpaceDE w:val="0"/>
        <w:autoSpaceDN w:val="0"/>
        <w:adjustRightInd w:val="0"/>
        <w:ind w:left="2138" w:hanging="284"/>
        <w:contextualSpacing/>
        <w:rPr>
          <w:rFonts w:cs="Arial"/>
        </w:rPr>
      </w:pPr>
      <w:r w:rsidRPr="006E6AD9">
        <w:rPr>
          <w:rFonts w:cs="Arial"/>
        </w:rPr>
        <w:lastRenderedPageBreak/>
        <w:t>fraudulent trading within the meaning of section 458 of the Companies Act 1985,article 451 of the Companies (Northern Ireland) Order 1986(n) or section 993 of the Companies Act 2006;</w:t>
      </w:r>
    </w:p>
    <w:p w:rsidR="000A564F" w:rsidRPr="006E6AD9" w:rsidRDefault="000A564F" w:rsidP="000A564F">
      <w:pPr>
        <w:pStyle w:val="ListParagraph"/>
        <w:autoSpaceDE w:val="0"/>
        <w:autoSpaceDN w:val="0"/>
        <w:adjustRightInd w:val="0"/>
        <w:ind w:left="2138"/>
        <w:contextualSpacing/>
        <w:rPr>
          <w:rFonts w:cs="Arial"/>
        </w:rPr>
      </w:pPr>
    </w:p>
    <w:p w:rsidR="000A564F" w:rsidRDefault="00CA2970" w:rsidP="000A564F">
      <w:pPr>
        <w:pStyle w:val="ListParagraph"/>
        <w:numPr>
          <w:ilvl w:val="0"/>
          <w:numId w:val="43"/>
        </w:numPr>
        <w:autoSpaceDE w:val="0"/>
        <w:autoSpaceDN w:val="0"/>
        <w:adjustRightInd w:val="0"/>
        <w:ind w:left="2138" w:hanging="284"/>
        <w:contextualSpacing/>
        <w:rPr>
          <w:rFonts w:cs="Arial"/>
        </w:rPr>
      </w:pPr>
      <w:r w:rsidRPr="006E6AD9">
        <w:rPr>
          <w:rFonts w:cs="Arial"/>
        </w:rPr>
        <w:t xml:space="preserve">fraudulent evasion within the meaning of section 170 of the Customs and Excise Management Act 1979 or section 72 </w:t>
      </w:r>
      <w:r w:rsidR="000A564F">
        <w:rPr>
          <w:rFonts w:cs="Arial"/>
        </w:rPr>
        <w:t>of the Value Added Tax Act 1994;</w:t>
      </w:r>
    </w:p>
    <w:p w:rsidR="000A564F" w:rsidRPr="000A564F" w:rsidRDefault="000A564F" w:rsidP="000A564F">
      <w:pPr>
        <w:pStyle w:val="ListParagraph"/>
        <w:autoSpaceDE w:val="0"/>
        <w:autoSpaceDN w:val="0"/>
        <w:adjustRightInd w:val="0"/>
        <w:ind w:left="0"/>
        <w:contextualSpacing/>
        <w:rPr>
          <w:rFonts w:cs="Arial"/>
        </w:rPr>
      </w:pPr>
    </w:p>
    <w:p w:rsidR="00CA2970" w:rsidRDefault="00CA2970" w:rsidP="00335E12">
      <w:pPr>
        <w:pStyle w:val="ListParagraph"/>
        <w:numPr>
          <w:ilvl w:val="0"/>
          <w:numId w:val="43"/>
        </w:numPr>
        <w:autoSpaceDE w:val="0"/>
        <w:autoSpaceDN w:val="0"/>
        <w:adjustRightInd w:val="0"/>
        <w:ind w:left="2138" w:hanging="153"/>
        <w:contextualSpacing/>
        <w:rPr>
          <w:rFonts w:cs="Arial"/>
        </w:rPr>
      </w:pPr>
      <w:r w:rsidRPr="006E6AD9">
        <w:rPr>
          <w:rFonts w:cs="Arial"/>
        </w:rPr>
        <w:t>an offence in connection with taxation in the European Union within the meaning of section 71 of the Criminal Justice Act 1993;</w:t>
      </w:r>
    </w:p>
    <w:p w:rsidR="000A564F" w:rsidRPr="006E6AD9" w:rsidRDefault="000A564F" w:rsidP="000A564F">
      <w:pPr>
        <w:pStyle w:val="ListParagraph"/>
        <w:autoSpaceDE w:val="0"/>
        <w:autoSpaceDN w:val="0"/>
        <w:adjustRightInd w:val="0"/>
        <w:ind w:left="0"/>
        <w:contextualSpacing/>
        <w:rPr>
          <w:rFonts w:cs="Arial"/>
        </w:rPr>
      </w:pPr>
    </w:p>
    <w:p w:rsidR="00CA2970" w:rsidRDefault="00CA2970" w:rsidP="00335E12">
      <w:pPr>
        <w:pStyle w:val="ListParagraph"/>
        <w:numPr>
          <w:ilvl w:val="0"/>
          <w:numId w:val="43"/>
        </w:numPr>
        <w:autoSpaceDE w:val="0"/>
        <w:autoSpaceDN w:val="0"/>
        <w:adjustRightInd w:val="0"/>
        <w:ind w:left="2138" w:hanging="153"/>
        <w:contextualSpacing/>
        <w:rPr>
          <w:rFonts w:cs="Arial"/>
        </w:rPr>
      </w:pPr>
      <w:r w:rsidRPr="006E6AD9">
        <w:rPr>
          <w:rFonts w:cs="Arial"/>
        </w:rPr>
        <w:t>destroying, defacing or concealing of documents or procuring the execution of a valuable security within the meaning of section 20 of the Theft Act 1968 or section 19 of the Theft Act (Northern Ireland) 1969;</w:t>
      </w:r>
    </w:p>
    <w:p w:rsidR="000A564F" w:rsidRPr="006E6AD9" w:rsidRDefault="000A564F" w:rsidP="000A564F">
      <w:pPr>
        <w:pStyle w:val="ListParagraph"/>
        <w:autoSpaceDE w:val="0"/>
        <w:autoSpaceDN w:val="0"/>
        <w:adjustRightInd w:val="0"/>
        <w:ind w:left="0"/>
        <w:contextualSpacing/>
        <w:rPr>
          <w:rFonts w:cs="Arial"/>
        </w:rPr>
      </w:pPr>
    </w:p>
    <w:p w:rsidR="00CA2970" w:rsidRDefault="00CA2970" w:rsidP="00335E12">
      <w:pPr>
        <w:pStyle w:val="ListParagraph"/>
        <w:numPr>
          <w:ilvl w:val="0"/>
          <w:numId w:val="43"/>
        </w:numPr>
        <w:autoSpaceDE w:val="0"/>
        <w:autoSpaceDN w:val="0"/>
        <w:adjustRightInd w:val="0"/>
        <w:ind w:left="2138" w:hanging="153"/>
        <w:contextualSpacing/>
        <w:rPr>
          <w:rFonts w:cs="Arial"/>
        </w:rPr>
      </w:pPr>
      <w:r w:rsidRPr="006E6AD9">
        <w:rPr>
          <w:rFonts w:cs="Arial"/>
        </w:rPr>
        <w:t>fraud within the meaning of section 2, 3 or 4 of the Fraud Act 2006; or</w:t>
      </w:r>
    </w:p>
    <w:p w:rsidR="000A564F" w:rsidRPr="006E6AD9" w:rsidRDefault="000A564F" w:rsidP="000A564F">
      <w:pPr>
        <w:pStyle w:val="ListParagraph"/>
        <w:autoSpaceDE w:val="0"/>
        <w:autoSpaceDN w:val="0"/>
        <w:adjustRightInd w:val="0"/>
        <w:ind w:left="0"/>
        <w:contextualSpacing/>
        <w:rPr>
          <w:rFonts w:cs="Arial"/>
        </w:rPr>
      </w:pPr>
    </w:p>
    <w:p w:rsidR="00CA2970" w:rsidRDefault="00CA2970" w:rsidP="00335E12">
      <w:pPr>
        <w:pStyle w:val="ListParagraph"/>
        <w:numPr>
          <w:ilvl w:val="0"/>
          <w:numId w:val="43"/>
        </w:numPr>
        <w:autoSpaceDE w:val="0"/>
        <w:autoSpaceDN w:val="0"/>
        <w:adjustRightInd w:val="0"/>
        <w:ind w:left="2138" w:hanging="153"/>
        <w:contextualSpacing/>
        <w:rPr>
          <w:rFonts w:cs="Arial"/>
        </w:rPr>
      </w:pPr>
      <w:r w:rsidRPr="006E6AD9">
        <w:rPr>
          <w:rFonts w:cs="Arial"/>
        </w:rPr>
        <w:t xml:space="preserve"> the possession of articles for use in frauds within the meaning of section 6 of the Fraud Act 2006, or the making, adapting, supplying or offering to supply articles for use in frauds within the meaning of section 7 of that Act;</w:t>
      </w:r>
    </w:p>
    <w:p w:rsidR="000A564F" w:rsidRPr="006E6AD9" w:rsidRDefault="000A564F" w:rsidP="000A564F">
      <w:pPr>
        <w:pStyle w:val="ListParagraph"/>
        <w:autoSpaceDE w:val="0"/>
        <w:autoSpaceDN w:val="0"/>
        <w:adjustRightInd w:val="0"/>
        <w:ind w:left="0"/>
        <w:contextualSpacing/>
        <w:rPr>
          <w:rFonts w:cs="Arial"/>
        </w:rPr>
      </w:pPr>
    </w:p>
    <w:p w:rsidR="00CA2970" w:rsidRPr="006E6AD9" w:rsidRDefault="00CA2970" w:rsidP="00335E12">
      <w:pPr>
        <w:pStyle w:val="ListParagraph"/>
        <w:numPr>
          <w:ilvl w:val="0"/>
          <w:numId w:val="40"/>
        </w:numPr>
        <w:autoSpaceDE w:val="0"/>
        <w:autoSpaceDN w:val="0"/>
        <w:adjustRightInd w:val="0"/>
        <w:ind w:left="1854" w:hanging="1134"/>
        <w:contextualSpacing/>
        <w:rPr>
          <w:rFonts w:cs="Arial"/>
        </w:rPr>
      </w:pPr>
      <w:r w:rsidRPr="006E6AD9">
        <w:rPr>
          <w:rFonts w:cs="Arial"/>
        </w:rPr>
        <w:t>any offence listed—</w:t>
      </w:r>
    </w:p>
    <w:p w:rsidR="00CA2970" w:rsidRPr="006E6AD9" w:rsidRDefault="00CA2970" w:rsidP="00335E12">
      <w:pPr>
        <w:pStyle w:val="ListParagraph"/>
        <w:numPr>
          <w:ilvl w:val="0"/>
          <w:numId w:val="43"/>
        </w:numPr>
        <w:autoSpaceDE w:val="0"/>
        <w:autoSpaceDN w:val="0"/>
        <w:adjustRightInd w:val="0"/>
        <w:ind w:left="2138" w:hanging="153"/>
        <w:contextualSpacing/>
        <w:rPr>
          <w:rFonts w:cs="Arial"/>
        </w:rPr>
      </w:pPr>
      <w:r w:rsidRPr="006E6AD9">
        <w:rPr>
          <w:rFonts w:cs="Arial"/>
        </w:rPr>
        <w:t>in section 41 of the Counter Terrorism Act 2008(a); or</w:t>
      </w:r>
    </w:p>
    <w:p w:rsidR="00CA2970" w:rsidRDefault="00CA2970" w:rsidP="00335E12">
      <w:pPr>
        <w:pStyle w:val="ListParagraph"/>
        <w:numPr>
          <w:ilvl w:val="0"/>
          <w:numId w:val="43"/>
        </w:numPr>
        <w:autoSpaceDE w:val="0"/>
        <w:autoSpaceDN w:val="0"/>
        <w:adjustRightInd w:val="0"/>
        <w:ind w:left="2138" w:hanging="153"/>
        <w:contextualSpacing/>
        <w:rPr>
          <w:rFonts w:cs="Arial"/>
        </w:rPr>
      </w:pPr>
      <w:r w:rsidRPr="006E6AD9">
        <w:rPr>
          <w:rFonts w:cs="Arial"/>
        </w:rPr>
        <w:t>in Schedule 2 to that Act where the court has determined that there is a terrorist connection;</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any offence under sections 44 to 46 of the Serious Crime Act 2007 which relates to an offence covered by subparagraph</w:t>
      </w:r>
      <w:r>
        <w:rPr>
          <w:rFonts w:cs="Arial"/>
        </w:rPr>
        <w:t xml:space="preserve"> (f)</w:t>
      </w:r>
      <w:r w:rsidRPr="006E6AD9">
        <w:rPr>
          <w:rFonts w:cs="Arial"/>
        </w:rPr>
        <w:t>;</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money laundering within the meaning of sections 340(11) and 415 of the Proceeds of Crime Act 2002;</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an offence in connection with the proceeds of criminal conduct within the meaning of section 93A, 93B or 93C of the Criminal Justice Act 1988 or article 45, 46 or 47 of the Proceeds of Crime (Northern Ireland) Order 1996;</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an offence under section 4 of the Asylum and Immigration (Treatment of Claimants, etc.) Act 2004;</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an offence under section 59A of the Sexual Offences Act 2003;</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an offence under section 71 of the Coroners and Justice Act 2009;</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an offence in connection with the proceeds of drug trafficking within the meaning of section 49, 50 or 51 of the Drug Trafficking Act 1994; or</w:t>
      </w:r>
    </w:p>
    <w:p w:rsidR="00396EF1" w:rsidRPr="006E6AD9" w:rsidRDefault="00396EF1" w:rsidP="00396EF1">
      <w:pPr>
        <w:pStyle w:val="ListParagraph"/>
        <w:autoSpaceDE w:val="0"/>
        <w:autoSpaceDN w:val="0"/>
        <w:adjustRightInd w:val="0"/>
        <w:ind w:left="0"/>
        <w:contextualSpacing/>
        <w:rPr>
          <w:rFonts w:cs="Arial"/>
        </w:rPr>
      </w:pPr>
    </w:p>
    <w:p w:rsidR="00CA2970" w:rsidRPr="006E6AD9" w:rsidRDefault="00CA2970" w:rsidP="00335E12">
      <w:pPr>
        <w:pStyle w:val="ListParagraph"/>
        <w:numPr>
          <w:ilvl w:val="0"/>
          <w:numId w:val="40"/>
        </w:numPr>
        <w:autoSpaceDE w:val="0"/>
        <w:autoSpaceDN w:val="0"/>
        <w:adjustRightInd w:val="0"/>
        <w:ind w:left="1429" w:hanging="709"/>
        <w:contextualSpacing/>
        <w:rPr>
          <w:rFonts w:cs="Arial"/>
        </w:rPr>
      </w:pPr>
      <w:r w:rsidRPr="006E6AD9">
        <w:rPr>
          <w:rFonts w:cs="Arial"/>
        </w:rPr>
        <w:t>any other offence within the meaning of Article 57(1) of the Public Contracts Directive—</w:t>
      </w:r>
    </w:p>
    <w:p w:rsidR="00CA2970" w:rsidRPr="006E6AD9" w:rsidRDefault="00CA2970" w:rsidP="00335E12">
      <w:pPr>
        <w:pStyle w:val="ListParagraph"/>
        <w:numPr>
          <w:ilvl w:val="1"/>
          <w:numId w:val="40"/>
        </w:numPr>
        <w:autoSpaceDE w:val="0"/>
        <w:autoSpaceDN w:val="0"/>
        <w:adjustRightInd w:val="0"/>
        <w:ind w:left="2520"/>
        <w:contextualSpacing/>
        <w:rPr>
          <w:rFonts w:cs="Arial"/>
        </w:rPr>
      </w:pPr>
      <w:r w:rsidRPr="006E6AD9">
        <w:rPr>
          <w:rFonts w:cs="Arial"/>
        </w:rPr>
        <w:t>as defined by the law of any jurisdiction outside England and Wales and</w:t>
      </w:r>
    </w:p>
    <w:p w:rsidR="00CA2970" w:rsidRPr="006E6AD9" w:rsidRDefault="00CA2970" w:rsidP="00335E12">
      <w:pPr>
        <w:pStyle w:val="ListParagraph"/>
        <w:autoSpaceDE w:val="0"/>
        <w:autoSpaceDN w:val="0"/>
        <w:adjustRightInd w:val="0"/>
        <w:ind w:left="1800" w:firstLine="360"/>
        <w:contextualSpacing/>
        <w:rPr>
          <w:rFonts w:cs="Arial"/>
        </w:rPr>
      </w:pPr>
      <w:r w:rsidRPr="006E6AD9">
        <w:rPr>
          <w:rFonts w:cs="Arial"/>
        </w:rPr>
        <w:t>Northern Ireland; or</w:t>
      </w:r>
    </w:p>
    <w:p w:rsidR="00CA2970" w:rsidRPr="006E6AD9" w:rsidRDefault="00CA2970" w:rsidP="00335E12">
      <w:pPr>
        <w:numPr>
          <w:ilvl w:val="1"/>
          <w:numId w:val="40"/>
        </w:numPr>
        <w:ind w:left="2138" w:hanging="425"/>
        <w:jc w:val="both"/>
      </w:pPr>
      <w:r w:rsidRPr="006E6AD9">
        <w:rPr>
          <w:rFonts w:cs="Arial"/>
        </w:rPr>
        <w:t xml:space="preserve">created, after the day on which the </w:t>
      </w:r>
      <w:r>
        <w:rPr>
          <w:rFonts w:cs="Arial"/>
        </w:rPr>
        <w:t xml:space="preserve">Public Contracts </w:t>
      </w:r>
      <w:r w:rsidRPr="006E6AD9">
        <w:rPr>
          <w:rFonts w:cs="Arial"/>
        </w:rPr>
        <w:t>Regulations</w:t>
      </w:r>
      <w:r>
        <w:rPr>
          <w:rFonts w:cs="Arial"/>
        </w:rPr>
        <w:t xml:space="preserve"> 2015</w:t>
      </w:r>
      <w:r w:rsidRPr="006E6AD9">
        <w:rPr>
          <w:rFonts w:cs="Arial"/>
        </w:rPr>
        <w:t xml:space="preserve"> were made, in the law of England and Wales or Northern Ireland.</w:t>
      </w:r>
    </w:p>
    <w:p w:rsidR="00CA2970" w:rsidRPr="003F0134" w:rsidRDefault="00CA2970" w:rsidP="00CA2970">
      <w:pPr>
        <w:rPr>
          <w:rFonts w:cs="Arial"/>
          <w:highlight w:val="yellow"/>
        </w:rPr>
      </w:pPr>
    </w:p>
    <w:p w:rsidR="00CA2970" w:rsidRPr="004B28E1" w:rsidRDefault="00396EF1" w:rsidP="00CA2970">
      <w:pPr>
        <w:pStyle w:val="CommentText"/>
        <w:rPr>
          <w:rFonts w:cs="Arial"/>
          <w:b/>
          <w:szCs w:val="24"/>
        </w:rPr>
      </w:pPr>
      <w:r>
        <w:rPr>
          <w:rFonts w:cs="Arial"/>
          <w:b/>
          <w:szCs w:val="24"/>
        </w:rPr>
        <w:br w:type="page"/>
      </w:r>
      <w:r w:rsidR="00CA2970" w:rsidRPr="004B28E1">
        <w:rPr>
          <w:rFonts w:cs="Arial"/>
          <w:b/>
          <w:szCs w:val="24"/>
        </w:rPr>
        <w:lastRenderedPageBreak/>
        <w:t>Mandatory and discretionary exclusions for non</w:t>
      </w:r>
      <w:r w:rsidR="00CA2970">
        <w:rPr>
          <w:rFonts w:cs="Arial"/>
          <w:b/>
          <w:szCs w:val="24"/>
        </w:rPr>
        <w:t>-</w:t>
      </w:r>
      <w:r w:rsidR="00CA2970" w:rsidRPr="004B28E1">
        <w:rPr>
          <w:rFonts w:cs="Arial"/>
          <w:b/>
          <w:szCs w:val="24"/>
        </w:rPr>
        <w:t>payment of taxes</w:t>
      </w:r>
    </w:p>
    <w:p w:rsidR="00CA2970" w:rsidRPr="004B28E1" w:rsidRDefault="00CA2970" w:rsidP="00CA2970">
      <w:pPr>
        <w:pStyle w:val="CommentText"/>
        <w:rPr>
          <w:rFonts w:cs="Arial"/>
          <w:b/>
          <w:szCs w:val="24"/>
        </w:rPr>
      </w:pPr>
    </w:p>
    <w:p w:rsidR="00CA2970" w:rsidRPr="004B28E1" w:rsidRDefault="00CA2970" w:rsidP="00E22AD3">
      <w:pPr>
        <w:pStyle w:val="CommentText"/>
        <w:ind w:left="709"/>
        <w:rPr>
          <w:rFonts w:cs="Arial"/>
          <w:b/>
          <w:szCs w:val="24"/>
        </w:rPr>
      </w:pPr>
      <w:r w:rsidRPr="004B28E1">
        <w:rPr>
          <w:rFonts w:cs="Arial"/>
          <w:b/>
          <w:szCs w:val="24"/>
        </w:rPr>
        <w:t>The Contracting Authority will also treat as ineligible and shall not select an Economic Operator if the Economic Operator (or any parent company / affiliates / Other Entities whose capacities it is relying upon) or any of its directors (of a company), partners (of a firm) or anyone who has powers of representation, decision or control has been convicted of any of the offences set out below:</w:t>
      </w:r>
    </w:p>
    <w:p w:rsidR="00CA2970" w:rsidRPr="004B28E1" w:rsidRDefault="00CA2970" w:rsidP="00E22AD3">
      <w:pPr>
        <w:pStyle w:val="CommentText"/>
        <w:ind w:left="709"/>
        <w:rPr>
          <w:rFonts w:cs="Arial"/>
          <w:b/>
          <w:szCs w:val="24"/>
        </w:rPr>
      </w:pPr>
    </w:p>
    <w:p w:rsidR="00CA2970" w:rsidRPr="004B28E1" w:rsidRDefault="00CA2970" w:rsidP="00E22AD3">
      <w:pPr>
        <w:pStyle w:val="CommentText"/>
        <w:numPr>
          <w:ilvl w:val="0"/>
          <w:numId w:val="39"/>
        </w:numPr>
        <w:tabs>
          <w:tab w:val="clear" w:pos="720"/>
          <w:tab w:val="num" w:pos="1429"/>
        </w:tabs>
        <w:ind w:left="1418" w:hanging="709"/>
        <w:jc w:val="both"/>
      </w:pPr>
      <w:r w:rsidRPr="004B28E1">
        <w:t>is in breach of its obligations relating to the payment of taxes or social security contributions; and</w:t>
      </w:r>
    </w:p>
    <w:p w:rsidR="00CA2970" w:rsidRPr="004B28E1" w:rsidRDefault="00CA2970" w:rsidP="00E22AD3">
      <w:pPr>
        <w:pStyle w:val="CommentText"/>
        <w:numPr>
          <w:ilvl w:val="0"/>
          <w:numId w:val="39"/>
        </w:numPr>
        <w:tabs>
          <w:tab w:val="clear" w:pos="720"/>
          <w:tab w:val="num" w:pos="1429"/>
        </w:tabs>
        <w:ind w:left="1418" w:hanging="709"/>
        <w:jc w:val="both"/>
      </w:pPr>
      <w:r w:rsidRPr="004B28E1">
        <w:t>the breach has been established by a judicial or administrative decision having final and binding effect in accordance with the legal provisions of the country in which it is established or with those of any of the jurisdictions of the United Kingdom.</w:t>
      </w:r>
    </w:p>
    <w:p w:rsidR="00CA2970" w:rsidRPr="004B28E1" w:rsidRDefault="00CA2970" w:rsidP="00E22AD3">
      <w:pPr>
        <w:pStyle w:val="CommentText"/>
        <w:ind w:left="709"/>
        <w:rPr>
          <w:rFonts w:cs="Arial"/>
          <w:b/>
          <w:szCs w:val="24"/>
        </w:rPr>
      </w:pPr>
    </w:p>
    <w:p w:rsidR="00CA2970" w:rsidRPr="004B28E1" w:rsidRDefault="00CA2970" w:rsidP="00E22AD3">
      <w:pPr>
        <w:pStyle w:val="CommentText"/>
        <w:ind w:left="709"/>
        <w:rPr>
          <w:rFonts w:cs="Arial"/>
          <w:b/>
          <w:szCs w:val="24"/>
        </w:rPr>
      </w:pPr>
      <w:r w:rsidRPr="004B28E1">
        <w:rPr>
          <w:rFonts w:cs="Arial"/>
          <w:b/>
          <w:szCs w:val="24"/>
        </w:rPr>
        <w:t>The Contracting Authority may treat as ineligible and may not select an Economic Operator if the Contracting Authority can demonstrate by any appropriate means that the Economic Operator (or any parent company / affiliates / Other Entities whose capacities it is relying upon) or any of its directors (of a company), partners (of a firm) or anyone who has powers of representation, decision or control is in breach of its obligations relating to the payment of taxes or social security contributions.</w:t>
      </w:r>
    </w:p>
    <w:p w:rsidR="00CA2970" w:rsidRPr="004B28E1" w:rsidRDefault="00CA2970" w:rsidP="00E22AD3">
      <w:pPr>
        <w:pStyle w:val="CommentText"/>
        <w:ind w:left="1069"/>
      </w:pPr>
    </w:p>
    <w:p w:rsidR="00CA2970" w:rsidRPr="006E6AD9" w:rsidRDefault="00CA2970" w:rsidP="00E22AD3">
      <w:pPr>
        <w:pStyle w:val="CommentText"/>
        <w:ind w:left="709"/>
      </w:pPr>
      <w:r w:rsidRPr="004B28E1">
        <w:t>The Economic Operator will not be excluded on these grounds for non</w:t>
      </w:r>
      <w:r>
        <w:t>-</w:t>
      </w:r>
      <w:r w:rsidRPr="004B28E1">
        <w:t>payment of taxes if it has fulfilled its obligations by paying, or entering into a binding agreement with a view to paying, the taxes or social security contributions due, including, where applicable, any interest accrued or fines.</w:t>
      </w:r>
      <w:r w:rsidRPr="006E6AD9">
        <w:t xml:space="preserve"> </w:t>
      </w:r>
    </w:p>
    <w:p w:rsidR="00CA2970" w:rsidRPr="003F0134" w:rsidRDefault="00CA2970" w:rsidP="00E22AD3">
      <w:pPr>
        <w:ind w:left="709"/>
        <w:rPr>
          <w:highlight w:val="yellow"/>
        </w:rPr>
      </w:pPr>
    </w:p>
    <w:p w:rsidR="00CA2970" w:rsidRPr="006E6AD9" w:rsidRDefault="00CA2970" w:rsidP="00E22AD3">
      <w:pPr>
        <w:ind w:left="709"/>
      </w:pPr>
      <w:r w:rsidRPr="006B2133">
        <w:rPr>
          <w:b/>
        </w:rPr>
        <w:t xml:space="preserve">To be eligible to participate in </w:t>
      </w:r>
      <w:r w:rsidR="00BD4464">
        <w:rPr>
          <w:b/>
        </w:rPr>
        <w:t>a</w:t>
      </w:r>
      <w:r w:rsidR="00BD4464" w:rsidRPr="006B2133">
        <w:rPr>
          <w:b/>
        </w:rPr>
        <w:t xml:space="preserve"> </w:t>
      </w:r>
      <w:r w:rsidRPr="006B2133">
        <w:rPr>
          <w:b/>
        </w:rPr>
        <w:t>procurement process the Economic Operator must confirm that the Economic Operator, its partners,</w:t>
      </w:r>
      <w:r w:rsidRPr="006B2133">
        <w:rPr>
          <w:rFonts w:cs="Arial"/>
          <w:b/>
        </w:rPr>
        <w:t xml:space="preserve"> </w:t>
      </w:r>
      <w:r>
        <w:rPr>
          <w:rFonts w:cs="Arial"/>
          <w:b/>
        </w:rPr>
        <w:t>o</w:t>
      </w:r>
      <w:r w:rsidRPr="006B2133">
        <w:rPr>
          <w:rFonts w:cs="Arial"/>
          <w:b/>
        </w:rPr>
        <w:t>ther Entities whose capacities it is relying upon</w:t>
      </w:r>
      <w:r w:rsidRPr="006B2133">
        <w:rPr>
          <w:b/>
        </w:rPr>
        <w:t xml:space="preserve"> or any other person who is a member of the administrative, management or supervisory body of that </w:t>
      </w:r>
      <w:r>
        <w:rPr>
          <w:b/>
        </w:rPr>
        <w:t>e</w:t>
      </w:r>
      <w:r w:rsidRPr="006B2133">
        <w:rPr>
          <w:b/>
        </w:rPr>
        <w:t xml:space="preserve">ntity / </w:t>
      </w:r>
      <w:r>
        <w:rPr>
          <w:b/>
        </w:rPr>
        <w:t>e</w:t>
      </w:r>
      <w:r w:rsidRPr="006B2133">
        <w:rPr>
          <w:b/>
        </w:rPr>
        <w:t xml:space="preserve">ntities, which it is relying upon, or who has powers of representation, decision or control in that </w:t>
      </w:r>
      <w:r>
        <w:rPr>
          <w:b/>
        </w:rPr>
        <w:t>e</w:t>
      </w:r>
      <w:r w:rsidRPr="006B2133">
        <w:rPr>
          <w:b/>
        </w:rPr>
        <w:t xml:space="preserve">ntity or </w:t>
      </w:r>
      <w:r>
        <w:rPr>
          <w:b/>
        </w:rPr>
        <w:t>e</w:t>
      </w:r>
      <w:r w:rsidRPr="006B2133">
        <w:rPr>
          <w:b/>
        </w:rPr>
        <w:t>ntities have not been convicted of the offences indicated abo</w:t>
      </w:r>
      <w:r>
        <w:rPr>
          <w:b/>
        </w:rPr>
        <w:t xml:space="preserve">ve by completing question [Q2] in </w:t>
      </w:r>
      <w:r w:rsidR="00BD4464">
        <w:rPr>
          <w:b/>
        </w:rPr>
        <w:t>S</w:t>
      </w:r>
      <w:r>
        <w:rPr>
          <w:b/>
        </w:rPr>
        <w:t xml:space="preserve">UPPLIER Profile Certificate </w:t>
      </w:r>
      <w:r w:rsidRPr="006B2133">
        <w:rPr>
          <w:b/>
        </w:rPr>
        <w:t>B</w:t>
      </w:r>
      <w:r>
        <w:rPr>
          <w:b/>
        </w:rPr>
        <w:t>3</w:t>
      </w:r>
      <w:r>
        <w:t xml:space="preserve"> – Public Sector Mandatory Exclusion [A].</w:t>
      </w:r>
    </w:p>
    <w:p w:rsidR="00CA2970" w:rsidRPr="006E6AD9" w:rsidRDefault="00CA2970" w:rsidP="00E22AD3">
      <w:pPr>
        <w:ind w:left="709"/>
      </w:pPr>
    </w:p>
    <w:p w:rsidR="00CA2970" w:rsidRPr="006E6AD9" w:rsidRDefault="00CA2970" w:rsidP="00E22AD3">
      <w:pPr>
        <w:ind w:left="709"/>
      </w:pPr>
      <w:r w:rsidRPr="006E6AD9">
        <w:t xml:space="preserve">If an Economic Operator </w:t>
      </w:r>
      <w:r>
        <w:t>answers ‘YES’ to question [Q2</w:t>
      </w:r>
      <w:r w:rsidRPr="006E6AD9">
        <w:t xml:space="preserve">] then the Employer will reject the Economic Operator’s </w:t>
      </w:r>
      <w:r>
        <w:t>PQQP S</w:t>
      </w:r>
      <w:r w:rsidRPr="006E6AD9">
        <w:t>ubmission unless:</w:t>
      </w:r>
    </w:p>
    <w:p w:rsidR="00CA2970" w:rsidRPr="006E6AD9" w:rsidRDefault="00CA2970" w:rsidP="00E22AD3">
      <w:pPr>
        <w:ind w:left="709"/>
      </w:pPr>
    </w:p>
    <w:p w:rsidR="00CA2970" w:rsidRPr="006E6AD9" w:rsidRDefault="00CA2970" w:rsidP="00E22AD3">
      <w:pPr>
        <w:numPr>
          <w:ilvl w:val="0"/>
          <w:numId w:val="45"/>
        </w:numPr>
        <w:ind w:left="1429" w:hanging="720"/>
        <w:jc w:val="both"/>
      </w:pPr>
      <w:r w:rsidRPr="006E6AD9">
        <w:t xml:space="preserve">The Economic Operator provides evidence to the effect that measures taken by it are sufficient to demonstrate its reliability, in accordance with Regulation 57(13) </w:t>
      </w:r>
      <w:r w:rsidRPr="006E6AD9">
        <w:rPr>
          <w:i/>
        </w:rPr>
        <w:t>Self-cleaning -</w:t>
      </w:r>
      <w:r w:rsidRPr="006E6AD9">
        <w:t xml:space="preserve"> of the Public Contracts Regulations 2015, to the satisfaction of the Contracting Authority</w:t>
      </w:r>
      <w:r>
        <w:t>.</w:t>
      </w:r>
    </w:p>
    <w:p w:rsidR="00CA2970" w:rsidRDefault="00CA2970" w:rsidP="00CA2970"/>
    <w:p w:rsidR="00CF74D0" w:rsidRDefault="00CF74D0" w:rsidP="00CF74D0">
      <w:pPr>
        <w:pStyle w:val="Heading3"/>
        <w:numPr>
          <w:ilvl w:val="0"/>
          <w:numId w:val="0"/>
        </w:numPr>
        <w:rPr>
          <w:b w:val="0"/>
          <w:caps w:val="0"/>
          <w:snapToGrid/>
          <w:color w:val="auto"/>
          <w:sz w:val="24"/>
          <w:szCs w:val="24"/>
          <w:lang w:eastAsia="en-US"/>
        </w:rPr>
      </w:pPr>
      <w:bookmarkStart w:id="1" w:name="_Toc325320232"/>
      <w:bookmarkStart w:id="2" w:name="_Toc325320331"/>
      <w:bookmarkStart w:id="3" w:name="_Toc325320441"/>
      <w:bookmarkStart w:id="4" w:name="_Toc448136499"/>
    </w:p>
    <w:p w:rsidR="00CF74D0" w:rsidRPr="00396EF1" w:rsidRDefault="00CF74D0" w:rsidP="00CF74D0">
      <w:pPr>
        <w:pStyle w:val="Heading3"/>
        <w:numPr>
          <w:ilvl w:val="0"/>
          <w:numId w:val="0"/>
        </w:numPr>
        <w:rPr>
          <w:rFonts w:cs="Arial"/>
          <w:caps w:val="0"/>
          <w:snapToGrid/>
          <w:color w:val="auto"/>
          <w:sz w:val="24"/>
          <w:szCs w:val="24"/>
          <w:lang w:eastAsia="x-none"/>
        </w:rPr>
      </w:pPr>
      <w:r w:rsidRPr="00396EF1">
        <w:rPr>
          <w:rFonts w:cs="Arial"/>
          <w:caps w:val="0"/>
          <w:snapToGrid/>
          <w:color w:val="auto"/>
          <w:sz w:val="24"/>
          <w:szCs w:val="24"/>
          <w:lang w:eastAsia="x-none"/>
        </w:rPr>
        <w:t>Contractor past performance</w:t>
      </w:r>
      <w:bookmarkEnd w:id="1"/>
      <w:bookmarkEnd w:id="2"/>
      <w:bookmarkEnd w:id="3"/>
      <w:bookmarkEnd w:id="4"/>
    </w:p>
    <w:p w:rsidR="00CF74D0" w:rsidRPr="00902E01" w:rsidRDefault="00CF74D0" w:rsidP="00CF74D0">
      <w:pPr>
        <w:autoSpaceDE w:val="0"/>
        <w:autoSpaceDN w:val="0"/>
        <w:adjustRightInd w:val="0"/>
        <w:rPr>
          <w:rFonts w:cs="Arial"/>
          <w:color w:val="000000"/>
          <w:sz w:val="16"/>
          <w:szCs w:val="16"/>
        </w:rPr>
      </w:pPr>
    </w:p>
    <w:p w:rsidR="00CF74D0" w:rsidRPr="00483EA3" w:rsidRDefault="00CF74D0" w:rsidP="00E22AD3">
      <w:pPr>
        <w:autoSpaceDE w:val="0"/>
        <w:autoSpaceDN w:val="0"/>
        <w:adjustRightInd w:val="0"/>
        <w:ind w:left="720" w:right="-1"/>
      </w:pPr>
      <w:r w:rsidRPr="00483EA3">
        <w:t xml:space="preserve">The </w:t>
      </w:r>
      <w:r>
        <w:t>Contractor</w:t>
      </w:r>
      <w:r w:rsidRPr="00483EA3">
        <w:t xml:space="preserve">’s performance on contracts will be regularly monitored. </w:t>
      </w:r>
      <w:r>
        <w:t>Contractor</w:t>
      </w:r>
      <w:r w:rsidRPr="00483EA3">
        <w:t>s not delivering on contract requirements is a serious matter. It means the public purse is not getting value for money.</w:t>
      </w:r>
    </w:p>
    <w:p w:rsidR="00CF74D0" w:rsidRPr="00483EA3" w:rsidRDefault="00CF74D0" w:rsidP="00E22AD3">
      <w:pPr>
        <w:autoSpaceDE w:val="0"/>
        <w:autoSpaceDN w:val="0"/>
        <w:adjustRightInd w:val="0"/>
        <w:ind w:left="720" w:right="-1"/>
      </w:pPr>
    </w:p>
    <w:p w:rsidR="00CF74D0" w:rsidRPr="00483EA3" w:rsidRDefault="00CF74D0" w:rsidP="00E22AD3">
      <w:pPr>
        <w:autoSpaceDE w:val="0"/>
        <w:autoSpaceDN w:val="0"/>
        <w:adjustRightInd w:val="0"/>
        <w:ind w:left="720" w:right="-1"/>
      </w:pPr>
      <w:r w:rsidRPr="00483EA3">
        <w:t xml:space="preserve">As part of its contract management procedures, the Contracting Authority and their CoPEs will use the Protocol for Managing Poor Supplier Performance contained in </w:t>
      </w:r>
      <w:r w:rsidRPr="00483EA3">
        <w:lastRenderedPageBreak/>
        <w:t>Procurement Guidance Note PGN 01/12 – Contract Management Principles and Procedures:</w:t>
      </w:r>
    </w:p>
    <w:p w:rsidR="00CF74D0" w:rsidRPr="00483EA3" w:rsidRDefault="00CF74D0" w:rsidP="00E22AD3">
      <w:pPr>
        <w:autoSpaceDE w:val="0"/>
        <w:autoSpaceDN w:val="0"/>
        <w:adjustRightInd w:val="0"/>
        <w:ind w:left="720" w:right="-1"/>
      </w:pPr>
    </w:p>
    <w:p w:rsidR="00CF74D0" w:rsidRPr="00483EA3" w:rsidRDefault="00CF74D0" w:rsidP="00E22AD3">
      <w:pPr>
        <w:autoSpaceDE w:val="0"/>
        <w:autoSpaceDN w:val="0"/>
        <w:adjustRightInd w:val="0"/>
        <w:ind w:left="720" w:right="-1"/>
      </w:pPr>
      <w:hyperlink r:id="rId9" w:history="1">
        <w:r w:rsidRPr="00483EA3">
          <w:rPr>
            <w:rStyle w:val="Hyperlink"/>
          </w:rPr>
          <w:t>https://www.finance-ni.gov.uk/publications/procurement-guidance-note-0112-contract-management-princip</w:t>
        </w:r>
        <w:r w:rsidRPr="00483EA3">
          <w:rPr>
            <w:rStyle w:val="Hyperlink"/>
          </w:rPr>
          <w:t>l</w:t>
        </w:r>
        <w:r w:rsidRPr="00483EA3">
          <w:rPr>
            <w:rStyle w:val="Hyperlink"/>
          </w:rPr>
          <w:t>es-and-procedures</w:t>
        </w:r>
      </w:hyperlink>
    </w:p>
    <w:p w:rsidR="00CF74D0" w:rsidRPr="00DE566A" w:rsidRDefault="00CF74D0" w:rsidP="00E22AD3">
      <w:pPr>
        <w:autoSpaceDE w:val="0"/>
        <w:autoSpaceDN w:val="0"/>
        <w:adjustRightInd w:val="0"/>
        <w:ind w:left="720" w:right="-1"/>
        <w:rPr>
          <w:highlight w:val="yellow"/>
        </w:rPr>
      </w:pPr>
    </w:p>
    <w:p w:rsidR="00CF74D0" w:rsidRPr="001506BD" w:rsidRDefault="00CF74D0" w:rsidP="00E22AD3">
      <w:pPr>
        <w:autoSpaceDE w:val="0"/>
        <w:autoSpaceDN w:val="0"/>
        <w:adjustRightInd w:val="0"/>
        <w:ind w:left="720" w:right="-1"/>
      </w:pPr>
      <w:r w:rsidRPr="00483EA3">
        <w:t>The Protocol sets out a series of five escalating stages to enable Contracting Authorities and their CoP</w:t>
      </w:r>
      <w:r w:rsidRPr="001506BD">
        <w:t xml:space="preserve">Es to manage poor performance by suppliers. </w:t>
      </w:r>
    </w:p>
    <w:p w:rsidR="00CF74D0" w:rsidRPr="00483EA3" w:rsidRDefault="00CF74D0" w:rsidP="00E22AD3">
      <w:pPr>
        <w:autoSpaceDE w:val="0"/>
        <w:autoSpaceDN w:val="0"/>
        <w:adjustRightInd w:val="0"/>
        <w:ind w:left="720" w:right="-1"/>
      </w:pPr>
    </w:p>
    <w:p w:rsidR="00CF74D0" w:rsidRPr="00483EA3" w:rsidRDefault="00CF74D0" w:rsidP="00E22AD3">
      <w:pPr>
        <w:autoSpaceDE w:val="0"/>
        <w:autoSpaceDN w:val="0"/>
        <w:adjustRightInd w:val="0"/>
        <w:ind w:left="720" w:right="-1"/>
      </w:pPr>
      <w:r w:rsidRPr="00483EA3">
        <w:t>At Stage 3, following the issue of a Second Written Warning of U</w:t>
      </w:r>
      <w:r>
        <w:t>nsatisfactory Performance, if a</w:t>
      </w:r>
      <w:r w:rsidRPr="00483EA3">
        <w:t xml:space="preserve"> </w:t>
      </w:r>
      <w:r>
        <w:t>Contractor</w:t>
      </w:r>
      <w:r w:rsidRPr="00483EA3">
        <w:t xml:space="preserve"> fails to reach satisfactory levels of contract performance having been given a specified time to improve, the process can be escalated to Stage 4. At Stage 4, as an alternative to terminating the contract, senior management in the Contracting Authority/CoPE can issue a Notice of Written Warning.</w:t>
      </w:r>
    </w:p>
    <w:p w:rsidR="00CF74D0" w:rsidRPr="00483EA3" w:rsidRDefault="00CF74D0" w:rsidP="00E22AD3">
      <w:pPr>
        <w:autoSpaceDE w:val="0"/>
        <w:autoSpaceDN w:val="0"/>
        <w:adjustRightInd w:val="0"/>
        <w:ind w:left="720" w:right="-1"/>
      </w:pPr>
    </w:p>
    <w:p w:rsidR="00CF74D0" w:rsidRPr="00483EA3" w:rsidRDefault="00CF74D0" w:rsidP="00E22AD3">
      <w:pPr>
        <w:autoSpaceDE w:val="0"/>
        <w:autoSpaceDN w:val="0"/>
        <w:adjustRightInd w:val="0"/>
        <w:ind w:left="720" w:right="-1"/>
      </w:pPr>
      <w:r w:rsidRPr="00483EA3">
        <w:t xml:space="preserve">If the </w:t>
      </w:r>
      <w:r>
        <w:t>Contractor</w:t>
      </w:r>
      <w:r w:rsidRPr="00483EA3">
        <w:t xml:space="preserve"> has not significantly improved performance after the period specified in the Notice of Written Warning the process can be escalated to stage 5. At stage 5, as an alternative to terminating the contract, a Notice of Unsatisfactory Performance can be issued to the </w:t>
      </w:r>
      <w:r>
        <w:t>Contractor</w:t>
      </w:r>
      <w:r w:rsidRPr="00483EA3">
        <w:t>.</w:t>
      </w:r>
    </w:p>
    <w:p w:rsidR="00CF74D0" w:rsidRPr="00483EA3" w:rsidRDefault="00CF74D0" w:rsidP="00E22AD3">
      <w:pPr>
        <w:autoSpaceDE w:val="0"/>
        <w:autoSpaceDN w:val="0"/>
        <w:adjustRightInd w:val="0"/>
        <w:ind w:left="720" w:right="-1"/>
      </w:pPr>
    </w:p>
    <w:p w:rsidR="00CF74D0" w:rsidRPr="00483EA3" w:rsidRDefault="00CF74D0" w:rsidP="00E22AD3">
      <w:pPr>
        <w:autoSpaceDE w:val="0"/>
        <w:autoSpaceDN w:val="0"/>
        <w:adjustRightInd w:val="0"/>
        <w:ind w:left="720" w:right="-1"/>
      </w:pPr>
      <w:r w:rsidRPr="00483EA3">
        <w:t xml:space="preserve">These notices remain current for the period of time stated in the protocol and </w:t>
      </w:r>
      <w:r>
        <w:t>the Contractor</w:t>
      </w:r>
      <w:r w:rsidRPr="00483EA3">
        <w:t xml:space="preserve"> must declare, in subsequent procurement competitions at the PQQ stage, if it has received a current Notice of Written Warning or a current Notice of Unsatisfactory Performance within three years the PQQP Submission Deadline.</w:t>
      </w:r>
    </w:p>
    <w:p w:rsidR="00CF74D0" w:rsidRPr="00483EA3" w:rsidRDefault="00CF74D0" w:rsidP="00E22AD3">
      <w:pPr>
        <w:autoSpaceDE w:val="0"/>
        <w:autoSpaceDN w:val="0"/>
        <w:adjustRightInd w:val="0"/>
        <w:ind w:left="720" w:right="-1"/>
      </w:pPr>
    </w:p>
    <w:p w:rsidR="00CF74D0" w:rsidRPr="00483EA3" w:rsidRDefault="00CF74D0" w:rsidP="00E22AD3">
      <w:pPr>
        <w:autoSpaceDE w:val="0"/>
        <w:autoSpaceDN w:val="0"/>
        <w:adjustRightInd w:val="0"/>
        <w:ind w:left="720" w:right="-1"/>
      </w:pPr>
      <w:r>
        <w:t>If the</w:t>
      </w:r>
      <w:r w:rsidRPr="00483EA3">
        <w:t xml:space="preserve"> </w:t>
      </w:r>
      <w:r>
        <w:t>Contractor</w:t>
      </w:r>
      <w:r w:rsidRPr="00483EA3">
        <w:t xml:space="preserve"> has received more than one current Notice of Written Warning the Contracting Authority/CoPE, at</w:t>
      </w:r>
      <w:r>
        <w:t xml:space="preserve"> its discretion, can consider a</w:t>
      </w:r>
      <w:r w:rsidRPr="00483EA3">
        <w:t xml:space="preserve"> </w:t>
      </w:r>
      <w:r>
        <w:t>Contractor</w:t>
      </w:r>
      <w:r w:rsidRPr="00483EA3">
        <w:t xml:space="preserve">’s exclusion from future procurement competitions, being undertaken on behalf of bodies covered by the Northern Ireland Public Procurement Policy, for a </w:t>
      </w:r>
      <w:r>
        <w:t xml:space="preserve">minimum </w:t>
      </w:r>
      <w:r w:rsidRPr="00483EA3">
        <w:t>period of 12 months.</w:t>
      </w:r>
    </w:p>
    <w:p w:rsidR="00CF74D0" w:rsidRPr="00483EA3" w:rsidRDefault="00CF74D0" w:rsidP="00E22AD3">
      <w:pPr>
        <w:autoSpaceDE w:val="0"/>
        <w:autoSpaceDN w:val="0"/>
        <w:adjustRightInd w:val="0"/>
        <w:ind w:left="720" w:right="-1"/>
      </w:pPr>
    </w:p>
    <w:p w:rsidR="00CF74D0" w:rsidRPr="00483EA3" w:rsidRDefault="00CF74D0" w:rsidP="00E22AD3">
      <w:pPr>
        <w:autoSpaceDE w:val="0"/>
        <w:autoSpaceDN w:val="0"/>
        <w:adjustRightInd w:val="0"/>
        <w:ind w:left="720" w:right="-1"/>
      </w:pPr>
      <w:r>
        <w:t>If the</w:t>
      </w:r>
      <w:r w:rsidRPr="00483EA3">
        <w:t xml:space="preserve"> </w:t>
      </w:r>
      <w:r>
        <w:t>Contractor</w:t>
      </w:r>
      <w:r w:rsidRPr="00483EA3">
        <w:t xml:space="preserve"> is subject to a Notice of Unsatisfactory Performance the Contracting Authority/CoPE, at its discretion, can consider the </w:t>
      </w:r>
      <w:r>
        <w:t>Contractor</w:t>
      </w:r>
      <w:r w:rsidRPr="00483EA3">
        <w:t>’s exclusion from future procurement competitions, being undertaken on behalf of bodies covered by the Northern Ireland Public Procurement Policy, for a period of 3 years.</w:t>
      </w:r>
    </w:p>
    <w:p w:rsidR="00CF74D0" w:rsidRPr="00483EA3" w:rsidRDefault="00CF74D0" w:rsidP="00E22AD3">
      <w:pPr>
        <w:autoSpaceDE w:val="0"/>
        <w:autoSpaceDN w:val="0"/>
        <w:adjustRightInd w:val="0"/>
        <w:ind w:left="720" w:right="-1"/>
      </w:pPr>
    </w:p>
    <w:p w:rsidR="00CF74D0" w:rsidRPr="00483EA3" w:rsidRDefault="00CF74D0" w:rsidP="00E22AD3">
      <w:pPr>
        <w:autoSpaceDE w:val="0"/>
        <w:autoSpaceDN w:val="0"/>
        <w:adjustRightInd w:val="0"/>
        <w:ind w:left="720" w:right="-1"/>
      </w:pPr>
      <w:r w:rsidRPr="00483EA3">
        <w:t xml:space="preserve">A list of these bodies subject to Northern Ireland Public Procurement Policy can be viewed at: </w:t>
      </w:r>
    </w:p>
    <w:p w:rsidR="00CF74D0" w:rsidRPr="00483EA3" w:rsidRDefault="00CF74D0" w:rsidP="00E22AD3">
      <w:pPr>
        <w:autoSpaceDE w:val="0"/>
        <w:autoSpaceDN w:val="0"/>
        <w:adjustRightInd w:val="0"/>
        <w:ind w:left="720" w:right="-1"/>
        <w:rPr>
          <w:rFonts w:cs="Arial"/>
          <w:iCs/>
          <w:color w:val="000000"/>
        </w:rPr>
      </w:pPr>
    </w:p>
    <w:p w:rsidR="00CF74D0" w:rsidRPr="00483EA3" w:rsidRDefault="00CF74D0" w:rsidP="00E22AD3">
      <w:pPr>
        <w:ind w:left="720"/>
      </w:pPr>
      <w:hyperlink r:id="rId10" w:history="1">
        <w:r w:rsidRPr="00483EA3">
          <w:rPr>
            <w:rStyle w:val="Hyperlink"/>
          </w:rPr>
          <w:t>https://www.finance-ni.gov.uk/articles/list-</w:t>
        </w:r>
        <w:r w:rsidRPr="00483EA3">
          <w:rPr>
            <w:rStyle w:val="Hyperlink"/>
          </w:rPr>
          <w:t>p</w:t>
        </w:r>
        <w:r w:rsidRPr="00483EA3">
          <w:rPr>
            <w:rStyle w:val="Hyperlink"/>
          </w:rPr>
          <w:t>ublic-bodies-which-ni-public-procurement-policy-applies</w:t>
        </w:r>
      </w:hyperlink>
    </w:p>
    <w:p w:rsidR="00CF74D0" w:rsidRPr="00483EA3" w:rsidRDefault="00CF74D0" w:rsidP="00E22AD3">
      <w:pPr>
        <w:ind w:left="720"/>
      </w:pPr>
    </w:p>
    <w:p w:rsidR="00CF74D0" w:rsidRDefault="00CF74D0" w:rsidP="00E22AD3">
      <w:pPr>
        <w:ind w:left="720"/>
      </w:pPr>
      <w:r>
        <w:t>Contractor</w:t>
      </w:r>
      <w:r w:rsidRPr="00B25BEE">
        <w:t>s</w:t>
      </w:r>
      <w:r>
        <w:t xml:space="preserve"> and Consortium members </w:t>
      </w:r>
      <w:r w:rsidRPr="00B25BEE">
        <w:t xml:space="preserve">interested in being </w:t>
      </w:r>
      <w:r>
        <w:t xml:space="preserve">selected to participate in a procurement </w:t>
      </w:r>
      <w:r w:rsidRPr="00B25BEE">
        <w:t>competition</w:t>
      </w:r>
      <w:r>
        <w:t>,</w:t>
      </w:r>
      <w:r w:rsidRPr="00B25BEE">
        <w:t xml:space="preserve"> must confirm, in </w:t>
      </w:r>
      <w:r>
        <w:t>Question [Q3] of Supplier Profile Certificate B3. Public Sector – Mandatory Exclusion [A] 2017,</w:t>
      </w:r>
      <w:r w:rsidRPr="00B25BEE">
        <w:t xml:space="preserve"> </w:t>
      </w:r>
      <w:r>
        <w:t>that</w:t>
      </w:r>
      <w:r w:rsidRPr="006604C6">
        <w:t xml:space="preserve"> </w:t>
      </w:r>
      <w:r>
        <w:t>prior to</w:t>
      </w:r>
      <w:r w:rsidRPr="00B25BEE">
        <w:t xml:space="preserve"> the PQQP </w:t>
      </w:r>
      <w:r>
        <w:t>S</w:t>
      </w:r>
      <w:r w:rsidRPr="00B25BEE">
        <w:t xml:space="preserve">ubmission </w:t>
      </w:r>
      <w:r>
        <w:t>Deadline:</w:t>
      </w:r>
    </w:p>
    <w:p w:rsidR="00CF74D0" w:rsidRDefault="00CF74D0" w:rsidP="00E22AD3">
      <w:pPr>
        <w:numPr>
          <w:ilvl w:val="0"/>
          <w:numId w:val="62"/>
        </w:numPr>
        <w:ind w:left="1440"/>
        <w:jc w:val="both"/>
      </w:pPr>
      <w:r>
        <w:t>It is in receipt of more than one current Notice of Written Warning.</w:t>
      </w:r>
    </w:p>
    <w:p w:rsidR="00CF74D0" w:rsidRDefault="00CF74D0" w:rsidP="00E22AD3">
      <w:pPr>
        <w:numPr>
          <w:ilvl w:val="0"/>
          <w:numId w:val="62"/>
        </w:numPr>
        <w:ind w:left="1440"/>
        <w:jc w:val="both"/>
      </w:pPr>
      <w:r>
        <w:t>It is in receipt of a Notice of Unsatisfactory Performance within the last three years or</w:t>
      </w:r>
    </w:p>
    <w:p w:rsidR="00CF74D0" w:rsidRDefault="00CF74D0" w:rsidP="00E22AD3">
      <w:pPr>
        <w:numPr>
          <w:ilvl w:val="0"/>
          <w:numId w:val="62"/>
        </w:numPr>
        <w:ind w:left="1440"/>
        <w:jc w:val="both"/>
      </w:pPr>
      <w:r>
        <w:t>It has had a prior public contract terminated or other comparable sanctions imposed on it within the last three years.</w:t>
      </w:r>
    </w:p>
    <w:p w:rsidR="00CF74D0" w:rsidRPr="000E38D1" w:rsidRDefault="00CF74D0" w:rsidP="00E22AD3">
      <w:pPr>
        <w:ind w:left="720"/>
      </w:pPr>
    </w:p>
    <w:p w:rsidR="00CF74D0" w:rsidRDefault="00CF74D0" w:rsidP="00E22AD3">
      <w:pPr>
        <w:ind w:left="720"/>
      </w:pPr>
      <w:r>
        <w:t xml:space="preserve">If the Contractor or a Consortium member is in receipt of more than one valid Notice of Written Warning, a current Notice of Unsatisfactory Performance or has had a prior </w:t>
      </w:r>
      <w:r>
        <w:lastRenderedPageBreak/>
        <w:t>public sector contract terminated, or comparable sanction imposed within the last 3 years</w:t>
      </w:r>
      <w:r w:rsidRPr="000E38D1">
        <w:t xml:space="preserve"> on the PQQP </w:t>
      </w:r>
      <w:r>
        <w:t>S</w:t>
      </w:r>
      <w:r w:rsidRPr="000E38D1">
        <w:t xml:space="preserve">ubmission </w:t>
      </w:r>
      <w:r>
        <w:t xml:space="preserve">Deadline then the Contractor or Consortium member in answering ‘YES’ to Question [B-01] must provide details of the Notice(s) </w:t>
      </w:r>
      <w:r>
        <w:rPr>
          <w:rFonts w:cs="Arial"/>
          <w:iCs/>
          <w:color w:val="000000"/>
        </w:rPr>
        <w:t>including an explanation of the deficiencies in performance that led to the issues of the Notice(s) / termination.</w:t>
      </w:r>
    </w:p>
    <w:p w:rsidR="00CF74D0" w:rsidRPr="00483EA3" w:rsidRDefault="00CF74D0" w:rsidP="00E22AD3">
      <w:pPr>
        <w:ind w:left="720"/>
      </w:pPr>
    </w:p>
    <w:p w:rsidR="00CF74D0" w:rsidRPr="00483EA3" w:rsidRDefault="00CF74D0" w:rsidP="00E22AD3">
      <w:pPr>
        <w:ind w:left="720"/>
      </w:pPr>
      <w:r w:rsidRPr="00483EA3">
        <w:t xml:space="preserve">The details provided may include evidence to the effect that measures taken by the </w:t>
      </w:r>
      <w:r>
        <w:t>Contractor or</w:t>
      </w:r>
      <w:r w:rsidRPr="00483EA3">
        <w:t xml:space="preserve"> </w:t>
      </w:r>
      <w:r>
        <w:t xml:space="preserve">Consortium </w:t>
      </w:r>
      <w:r w:rsidRPr="00483EA3">
        <w:t xml:space="preserve">are sufficient to demonstrate its reliability. The Contracting Authority will then consider whether to exclude the </w:t>
      </w:r>
      <w:r>
        <w:t>Contractor</w:t>
      </w:r>
      <w:r w:rsidRPr="00483EA3">
        <w:t xml:space="preserve"> from the procurement competition.</w:t>
      </w:r>
    </w:p>
    <w:p w:rsidR="00CF74D0" w:rsidRPr="00483EA3" w:rsidRDefault="00CF74D0" w:rsidP="00E22AD3">
      <w:pPr>
        <w:ind w:left="720"/>
      </w:pPr>
    </w:p>
    <w:p w:rsidR="00CF74D0" w:rsidRPr="001B4C4C" w:rsidRDefault="00CF74D0" w:rsidP="00E22AD3">
      <w:pPr>
        <w:ind w:left="720"/>
      </w:pPr>
      <w:r>
        <w:t>Furthermore, if a</w:t>
      </w:r>
      <w:r w:rsidRPr="00483EA3">
        <w:t xml:space="preserve"> </w:t>
      </w:r>
      <w:r>
        <w:t>Contractor</w:t>
      </w:r>
      <w:r w:rsidRPr="00483EA3">
        <w:t xml:space="preserve">, or </w:t>
      </w:r>
      <w:r>
        <w:t xml:space="preserve">Consortium </w:t>
      </w:r>
      <w:r w:rsidRPr="00483EA3">
        <w:t xml:space="preserve">is issued with notices so that it is in receipt of more than one current Notice of Written Warning or a current Notice of Unsatisfactory Performance, by any CoPE or </w:t>
      </w:r>
      <w:r w:rsidRPr="00483EA3">
        <w:rPr>
          <w:rFonts w:cs="Arial"/>
          <w:iCs/>
          <w:color w:val="000000"/>
        </w:rPr>
        <w:t>Contracting Authority,</w:t>
      </w:r>
      <w:r w:rsidRPr="00483EA3">
        <w:t xml:space="preserve"> prior to the award of this contract, the </w:t>
      </w:r>
      <w:r>
        <w:t>Contractor</w:t>
      </w:r>
      <w:r w:rsidRPr="00483EA3">
        <w:t xml:space="preserve"> may not proceed any further in this competition. This will apply regardless of whether the </w:t>
      </w:r>
      <w:r>
        <w:t>Contractor</w:t>
      </w:r>
      <w:r w:rsidRPr="00483EA3">
        <w:t xml:space="preserve"> has already been invited to submit a tender by that time</w:t>
      </w:r>
    </w:p>
    <w:p w:rsidR="00553819" w:rsidRDefault="00553819" w:rsidP="00CA2970"/>
    <w:p w:rsidR="00553819" w:rsidRDefault="00553819" w:rsidP="00CA2970"/>
    <w:p w:rsidR="00553819" w:rsidRDefault="00553819" w:rsidP="00CA2970"/>
    <w:p w:rsidR="00553819" w:rsidRDefault="00540205" w:rsidP="00CA2970">
      <w:r>
        <w:br w:type="page"/>
      </w:r>
    </w:p>
    <w:p w:rsidR="00CA2970" w:rsidRDefault="00221BA1" w:rsidP="00CA2970">
      <w:pPr>
        <w:rPr>
          <w:b/>
          <w:sz w:val="32"/>
          <w:szCs w:val="32"/>
        </w:rPr>
      </w:pPr>
      <w:r w:rsidRPr="00A754D6">
        <w:rPr>
          <w:rFonts w:ascii="Arial Bold" w:hAnsi="Arial Bold"/>
          <w:b/>
          <w:sz w:val="32"/>
          <w:szCs w:val="32"/>
        </w:rPr>
        <w:t>ABOVE EU THREHOLD</w:t>
      </w:r>
      <w:r w:rsidR="00553819">
        <w:rPr>
          <w:b/>
          <w:sz w:val="32"/>
          <w:szCs w:val="32"/>
        </w:rPr>
        <w:t xml:space="preserve"> DISCRETIONARY EXCLUSION</w:t>
      </w:r>
    </w:p>
    <w:p w:rsidR="00553819" w:rsidRDefault="00553819" w:rsidP="00CA2970">
      <w:pPr>
        <w:rPr>
          <w:b/>
          <w:sz w:val="32"/>
          <w:szCs w:val="32"/>
        </w:rPr>
      </w:pPr>
    </w:p>
    <w:p w:rsidR="00E22AD3" w:rsidRDefault="00E22AD3" w:rsidP="00E22AD3">
      <w:pPr>
        <w:rPr>
          <w:color w:val="002060"/>
        </w:rPr>
      </w:pPr>
      <w:r>
        <w:rPr>
          <w:color w:val="002060"/>
        </w:rPr>
        <w:t>Application:</w:t>
      </w:r>
    </w:p>
    <w:p w:rsidR="00E22AD3" w:rsidRDefault="00E22AD3" w:rsidP="00E22AD3">
      <w:pPr>
        <w:rPr>
          <w:color w:val="002060"/>
        </w:rPr>
      </w:pPr>
    </w:p>
    <w:p w:rsidR="00E22AD3" w:rsidRDefault="00E22AD3" w:rsidP="00E47897">
      <w:pPr>
        <w:rPr>
          <w:color w:val="002060"/>
        </w:rPr>
      </w:pPr>
      <w:r w:rsidRPr="00A754D6">
        <w:rPr>
          <w:color w:val="002060"/>
        </w:rPr>
        <w:t>This certificate will be used on all works procurements</w:t>
      </w:r>
      <w:r>
        <w:rPr>
          <w:color w:val="002060"/>
        </w:rPr>
        <w:t xml:space="preserve"> above</w:t>
      </w:r>
      <w:r w:rsidRPr="00A754D6">
        <w:rPr>
          <w:color w:val="002060"/>
        </w:rPr>
        <w:t xml:space="preserve"> EU threshold.</w:t>
      </w:r>
    </w:p>
    <w:p w:rsidR="00E22AD3" w:rsidRDefault="00E22AD3" w:rsidP="00E47897">
      <w:pPr>
        <w:rPr>
          <w:color w:val="002060"/>
        </w:rPr>
      </w:pPr>
    </w:p>
    <w:p w:rsidR="00E22AD3" w:rsidRDefault="00E22AD3" w:rsidP="00E47897">
      <w:pPr>
        <w:rPr>
          <w:color w:val="002060"/>
        </w:rPr>
      </w:pPr>
      <w:r>
        <w:rPr>
          <w:color w:val="002060"/>
        </w:rPr>
        <w:t xml:space="preserve">Supplier Profile Certificates B3 and B4 set out Mandatory (B3) and Discretionary (B4) reasons why a Centre of Procurement Expertise will exclude an Economic Operator from a procurement process. </w:t>
      </w:r>
    </w:p>
    <w:p w:rsidR="00E22AD3" w:rsidRDefault="00E22AD3" w:rsidP="00E47897">
      <w:pPr>
        <w:ind w:left="-283"/>
        <w:rPr>
          <w:color w:val="002060"/>
        </w:rPr>
      </w:pPr>
    </w:p>
    <w:p w:rsidR="00E22AD3" w:rsidRDefault="00E22AD3" w:rsidP="00E47897">
      <w:pPr>
        <w:rPr>
          <w:color w:val="002060"/>
        </w:rPr>
      </w:pPr>
      <w:r>
        <w:rPr>
          <w:color w:val="002060"/>
        </w:rPr>
        <w:t>Discretionary reasons for exclusion include insolvency, grave professional misconduct and misrepresentation.</w:t>
      </w:r>
    </w:p>
    <w:p w:rsidR="00E22AD3" w:rsidRDefault="00E22AD3" w:rsidP="00E47897">
      <w:pPr>
        <w:rPr>
          <w:color w:val="002060"/>
        </w:rPr>
      </w:pPr>
    </w:p>
    <w:p w:rsidR="00E22AD3" w:rsidRDefault="00E22AD3" w:rsidP="00E47897">
      <w:pPr>
        <w:rPr>
          <w:color w:val="002060"/>
        </w:rPr>
      </w:pPr>
      <w:r>
        <w:rPr>
          <w:color w:val="002060"/>
        </w:rPr>
        <w:t>Full details are set out below</w:t>
      </w:r>
    </w:p>
    <w:p w:rsidR="00553819" w:rsidRPr="00553819" w:rsidRDefault="00553819" w:rsidP="00553819">
      <w:pPr>
        <w:rPr>
          <w:color w:val="002060"/>
        </w:rPr>
      </w:pPr>
    </w:p>
    <w:p w:rsidR="00221BA1" w:rsidRPr="003C1E1E" w:rsidRDefault="00221BA1" w:rsidP="00CA2970"/>
    <w:p w:rsidR="00CA2970" w:rsidRPr="00553819" w:rsidRDefault="00CA2970" w:rsidP="00CA2970">
      <w:pPr>
        <w:pStyle w:val="BodyText"/>
        <w:ind w:left="680" w:hanging="680"/>
        <w:rPr>
          <w:rFonts w:ascii="Arial Narrow" w:hAnsi="Arial Narrow"/>
          <w:b/>
          <w:sz w:val="32"/>
          <w:szCs w:val="32"/>
          <w:u w:val="single"/>
        </w:rPr>
      </w:pPr>
      <w:r w:rsidRPr="00553819">
        <w:rPr>
          <w:rFonts w:ascii="Arial Narrow" w:hAnsi="Arial Narrow"/>
          <w:b/>
          <w:sz w:val="32"/>
          <w:szCs w:val="32"/>
          <w:u w:val="single"/>
        </w:rPr>
        <w:t>[B4] Public Sector - Discretionary Exclusion</w:t>
      </w:r>
      <w:r w:rsidR="00553819" w:rsidRPr="00553819">
        <w:rPr>
          <w:rFonts w:ascii="Arial Narrow" w:hAnsi="Arial Narrow"/>
          <w:b/>
          <w:sz w:val="32"/>
          <w:szCs w:val="32"/>
          <w:u w:val="single"/>
        </w:rPr>
        <w:t xml:space="preserve"> </w:t>
      </w:r>
      <w:r w:rsidRPr="00553819">
        <w:rPr>
          <w:rFonts w:ascii="Arial Narrow" w:hAnsi="Arial Narrow"/>
          <w:b/>
          <w:sz w:val="32"/>
          <w:szCs w:val="32"/>
          <w:u w:val="single"/>
        </w:rPr>
        <w:t>[A] 2017</w:t>
      </w:r>
    </w:p>
    <w:p w:rsidR="00CA2970" w:rsidRPr="006B2133" w:rsidRDefault="00CA2970" w:rsidP="00CA2970">
      <w:pPr>
        <w:pStyle w:val="ListParagraph"/>
        <w:ind w:left="680"/>
        <w:rPr>
          <w:rFonts w:cs="Arial"/>
        </w:rPr>
      </w:pPr>
    </w:p>
    <w:p w:rsidR="00CA2970" w:rsidRPr="006B2133" w:rsidRDefault="00CA2970" w:rsidP="00CA2970">
      <w:pPr>
        <w:pStyle w:val="CommentText"/>
        <w:rPr>
          <w:rFonts w:cs="Arial"/>
          <w:szCs w:val="24"/>
        </w:rPr>
      </w:pPr>
      <w:r w:rsidRPr="006B2133">
        <w:rPr>
          <w:rFonts w:cs="Arial"/>
          <w:szCs w:val="24"/>
        </w:rPr>
        <w:t>The Contracting Authority may treat as ineligible and shall not select an Economic Operator if the Economic Operator (or any parent company / affiliates / Other Entities whose capacities it is relying upon) or any of its directors (of a company), or partners (of a firm) is in any of the situations listed in Regulations 57(8)(a) – 57(8)(i) of the Public Contracts Regulations 2015, as follows:</w:t>
      </w:r>
    </w:p>
    <w:p w:rsidR="00CA2970" w:rsidRPr="003F0134" w:rsidRDefault="00CA2970" w:rsidP="00CA2970">
      <w:pPr>
        <w:rPr>
          <w:highlight w:val="yellow"/>
        </w:rPr>
      </w:pPr>
    </w:p>
    <w:p w:rsidR="00396EF1" w:rsidRDefault="00CA2970" w:rsidP="00396EF1">
      <w:pPr>
        <w:pStyle w:val="ListParagraph"/>
        <w:numPr>
          <w:ilvl w:val="0"/>
          <w:numId w:val="41"/>
        </w:numPr>
        <w:autoSpaceDE w:val="0"/>
        <w:autoSpaceDN w:val="0"/>
        <w:adjustRightInd w:val="0"/>
        <w:ind w:left="709" w:hanging="567"/>
        <w:contextualSpacing/>
        <w:rPr>
          <w:rFonts w:cs="Arial"/>
        </w:rPr>
      </w:pPr>
      <w:r w:rsidRPr="006E6AD9">
        <w:rPr>
          <w:rFonts w:cs="Arial"/>
        </w:rPr>
        <w:t>where the Contracting Authority can demonstrate by any appropriate means a violation of applicable obligations referred to in Regulation 56(2) of the Public Contracts Regulations 2015;</w:t>
      </w:r>
    </w:p>
    <w:p w:rsidR="00396EF1" w:rsidRPr="00396EF1" w:rsidRDefault="00396EF1" w:rsidP="00396EF1">
      <w:pPr>
        <w:pStyle w:val="ListParagraph"/>
        <w:autoSpaceDE w:val="0"/>
        <w:autoSpaceDN w:val="0"/>
        <w:adjustRightInd w:val="0"/>
        <w:ind w:left="0"/>
        <w:contextualSpacing/>
        <w:rPr>
          <w:rFonts w:cs="Arial"/>
        </w:rPr>
      </w:pPr>
    </w:p>
    <w:p w:rsidR="00CA2970" w:rsidRDefault="00CA2970" w:rsidP="00CA2970">
      <w:pPr>
        <w:pStyle w:val="ListParagraph"/>
        <w:numPr>
          <w:ilvl w:val="0"/>
          <w:numId w:val="41"/>
        </w:numPr>
        <w:autoSpaceDE w:val="0"/>
        <w:autoSpaceDN w:val="0"/>
        <w:adjustRightInd w:val="0"/>
        <w:ind w:left="709" w:hanging="567"/>
        <w:contextualSpacing/>
        <w:rPr>
          <w:rFonts w:cs="Arial"/>
        </w:rPr>
      </w:pPr>
      <w:r w:rsidRPr="006E6AD9">
        <w:rPr>
          <w:rFonts w:cs="Arial"/>
        </w:rPr>
        <w:t xml:space="preserve">where the Economic Operator is bankrupt or is the subject of insolvency or winding-up proceedings, where its assets are being administered by a liquidator or by the court, where it is in an arrangement with creditors, where its business activities are </w:t>
      </w:r>
      <w:r w:rsidRPr="006E6AD9">
        <w:rPr>
          <w:rFonts w:cs="Arial"/>
        </w:rPr>
        <w:lastRenderedPageBreak/>
        <w:t>suspended or it is in any analogous situation arising from a similar procedure under the laws and regulations of any State;</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CA2970">
      <w:pPr>
        <w:pStyle w:val="ListParagraph"/>
        <w:numPr>
          <w:ilvl w:val="0"/>
          <w:numId w:val="41"/>
        </w:numPr>
        <w:autoSpaceDE w:val="0"/>
        <w:autoSpaceDN w:val="0"/>
        <w:adjustRightInd w:val="0"/>
        <w:ind w:left="709" w:hanging="567"/>
        <w:contextualSpacing/>
        <w:rPr>
          <w:rFonts w:cs="Arial"/>
        </w:rPr>
      </w:pPr>
      <w:r w:rsidRPr="006E6AD9">
        <w:rPr>
          <w:rFonts w:cs="Arial"/>
        </w:rPr>
        <w:t>where the Contracting Authority can demonstrate by appropriate means that the Economic Operator is guilty of grave professional misconduct, which renders its integrity questionable;</w:t>
      </w:r>
    </w:p>
    <w:p w:rsidR="00396EF1" w:rsidRPr="006E6AD9" w:rsidRDefault="00396EF1" w:rsidP="00396EF1">
      <w:pPr>
        <w:pStyle w:val="ListParagraph"/>
        <w:autoSpaceDE w:val="0"/>
        <w:autoSpaceDN w:val="0"/>
        <w:adjustRightInd w:val="0"/>
        <w:ind w:left="142"/>
        <w:contextualSpacing/>
        <w:rPr>
          <w:rFonts w:cs="Arial"/>
        </w:rPr>
      </w:pPr>
    </w:p>
    <w:p w:rsidR="00CA2970" w:rsidRDefault="00CA2970" w:rsidP="00CA2970">
      <w:pPr>
        <w:pStyle w:val="ListParagraph"/>
        <w:numPr>
          <w:ilvl w:val="0"/>
          <w:numId w:val="41"/>
        </w:numPr>
        <w:autoSpaceDE w:val="0"/>
        <w:autoSpaceDN w:val="0"/>
        <w:adjustRightInd w:val="0"/>
        <w:ind w:left="709" w:hanging="567"/>
        <w:contextualSpacing/>
        <w:rPr>
          <w:rFonts w:cs="Arial"/>
        </w:rPr>
      </w:pPr>
      <w:r w:rsidRPr="006E6AD9">
        <w:rPr>
          <w:rFonts w:cs="Arial"/>
        </w:rPr>
        <w:t xml:space="preserve">where the Contracting Authority has sufficiently plausible indications to conclude that the Economic Operator has entered into agreements with other Economic Operators </w:t>
      </w:r>
      <w:r w:rsidR="00396EF1">
        <w:rPr>
          <w:rFonts w:cs="Arial"/>
        </w:rPr>
        <w:t>aimed at distorting competition;</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CA2970">
      <w:pPr>
        <w:pStyle w:val="ListParagraph"/>
        <w:numPr>
          <w:ilvl w:val="0"/>
          <w:numId w:val="41"/>
        </w:numPr>
        <w:autoSpaceDE w:val="0"/>
        <w:autoSpaceDN w:val="0"/>
        <w:adjustRightInd w:val="0"/>
        <w:ind w:left="709" w:hanging="567"/>
        <w:contextualSpacing/>
        <w:rPr>
          <w:rFonts w:cs="Arial"/>
        </w:rPr>
      </w:pPr>
      <w:r w:rsidRPr="006E6AD9">
        <w:rPr>
          <w:rFonts w:cs="Arial"/>
        </w:rPr>
        <w:t>where a conflict of interest within the meaning of Regulation 24 of the Public Contracts Regulations 2015 cannot be effectively remedied by other, less intrusive, measures;</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CA2970">
      <w:pPr>
        <w:pStyle w:val="ListParagraph"/>
        <w:numPr>
          <w:ilvl w:val="0"/>
          <w:numId w:val="41"/>
        </w:numPr>
        <w:autoSpaceDE w:val="0"/>
        <w:autoSpaceDN w:val="0"/>
        <w:adjustRightInd w:val="0"/>
        <w:ind w:left="709" w:hanging="567"/>
        <w:contextualSpacing/>
        <w:rPr>
          <w:rFonts w:cs="Arial"/>
        </w:rPr>
      </w:pPr>
      <w:r w:rsidRPr="006E6AD9">
        <w:rPr>
          <w:rFonts w:cs="Arial"/>
        </w:rPr>
        <w:t>where a distortion of competition from the prior involvement of the Economic Operator in the preparation of the procurement procedure, as referred to in Regulation 41 of the Public Contract Regulations 2015, cannot be remedied by other, less intrusive, measures;</w:t>
      </w:r>
    </w:p>
    <w:p w:rsidR="00396EF1" w:rsidRPr="006E6AD9" w:rsidRDefault="00396EF1" w:rsidP="00396EF1">
      <w:pPr>
        <w:pStyle w:val="ListParagraph"/>
        <w:autoSpaceDE w:val="0"/>
        <w:autoSpaceDN w:val="0"/>
        <w:adjustRightInd w:val="0"/>
        <w:ind w:left="0"/>
        <w:contextualSpacing/>
        <w:rPr>
          <w:rFonts w:cs="Arial"/>
        </w:rPr>
      </w:pPr>
    </w:p>
    <w:p w:rsidR="00CA2970" w:rsidRDefault="00CA2970" w:rsidP="00CA2970">
      <w:pPr>
        <w:pStyle w:val="ListParagraph"/>
        <w:numPr>
          <w:ilvl w:val="0"/>
          <w:numId w:val="41"/>
        </w:numPr>
        <w:autoSpaceDE w:val="0"/>
        <w:autoSpaceDN w:val="0"/>
        <w:adjustRightInd w:val="0"/>
        <w:ind w:left="709" w:hanging="567"/>
        <w:contextualSpacing/>
        <w:rPr>
          <w:rFonts w:cs="Arial"/>
        </w:rPr>
      </w:pPr>
      <w:r w:rsidRPr="006E6AD9">
        <w:rPr>
          <w:rFonts w:cs="Arial"/>
        </w:rPr>
        <w:t>where the Economic Operator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rsidR="00396EF1" w:rsidRPr="006E6AD9" w:rsidRDefault="00396EF1" w:rsidP="00396EF1">
      <w:pPr>
        <w:pStyle w:val="ListParagraph"/>
        <w:autoSpaceDE w:val="0"/>
        <w:autoSpaceDN w:val="0"/>
        <w:adjustRightInd w:val="0"/>
        <w:ind w:left="0"/>
        <w:contextualSpacing/>
        <w:rPr>
          <w:rFonts w:cs="Arial"/>
        </w:rPr>
      </w:pPr>
    </w:p>
    <w:p w:rsidR="00CA2970" w:rsidRPr="006E6AD9" w:rsidRDefault="00CA2970" w:rsidP="00CA2970">
      <w:pPr>
        <w:pStyle w:val="ListParagraph"/>
        <w:numPr>
          <w:ilvl w:val="0"/>
          <w:numId w:val="41"/>
        </w:numPr>
        <w:autoSpaceDE w:val="0"/>
        <w:autoSpaceDN w:val="0"/>
        <w:adjustRightInd w:val="0"/>
        <w:ind w:left="709" w:hanging="567"/>
        <w:contextualSpacing/>
        <w:rPr>
          <w:rFonts w:cs="Arial"/>
        </w:rPr>
      </w:pPr>
      <w:r w:rsidRPr="006E6AD9">
        <w:rPr>
          <w:rFonts w:cs="Arial"/>
        </w:rPr>
        <w:t>where the Economic Operator—</w:t>
      </w:r>
    </w:p>
    <w:p w:rsidR="00CA2970" w:rsidRPr="006E6AD9" w:rsidRDefault="00CA2970" w:rsidP="00CA2970">
      <w:pPr>
        <w:pStyle w:val="ListParagraph"/>
        <w:numPr>
          <w:ilvl w:val="0"/>
          <w:numId w:val="42"/>
        </w:numPr>
        <w:autoSpaceDE w:val="0"/>
        <w:autoSpaceDN w:val="0"/>
        <w:adjustRightInd w:val="0"/>
        <w:ind w:left="993" w:hanging="142"/>
        <w:contextualSpacing/>
        <w:rPr>
          <w:rFonts w:cs="Arial"/>
        </w:rPr>
      </w:pPr>
      <w:r w:rsidRPr="006E6AD9">
        <w:rPr>
          <w:rFonts w:cs="Arial"/>
        </w:rPr>
        <w:t>has been guilty of serious misrepresentation in supplying the information required for the verification of the absence of grounds for exclusion or the fulfilment of the selection criteria; or</w:t>
      </w:r>
    </w:p>
    <w:p w:rsidR="00CA2970" w:rsidRDefault="00CA2970" w:rsidP="00CA2970">
      <w:pPr>
        <w:pStyle w:val="ListParagraph"/>
        <w:numPr>
          <w:ilvl w:val="0"/>
          <w:numId w:val="42"/>
        </w:numPr>
        <w:autoSpaceDE w:val="0"/>
        <w:autoSpaceDN w:val="0"/>
        <w:adjustRightInd w:val="0"/>
        <w:ind w:left="993" w:hanging="142"/>
        <w:contextualSpacing/>
        <w:rPr>
          <w:rFonts w:cs="Arial"/>
        </w:rPr>
      </w:pPr>
      <w:r w:rsidRPr="006E6AD9">
        <w:rPr>
          <w:rFonts w:cs="Arial"/>
        </w:rPr>
        <w:t>has withheld such information or is not able to submit supporting documents required under Regulation 59 of the Public Contracts Regulations 2015; or</w:t>
      </w:r>
    </w:p>
    <w:p w:rsidR="00396EF1" w:rsidRPr="006E6AD9" w:rsidRDefault="00396EF1" w:rsidP="00396EF1">
      <w:pPr>
        <w:pStyle w:val="ListParagraph"/>
        <w:autoSpaceDE w:val="0"/>
        <w:autoSpaceDN w:val="0"/>
        <w:adjustRightInd w:val="0"/>
        <w:contextualSpacing/>
        <w:rPr>
          <w:rFonts w:cs="Arial"/>
        </w:rPr>
      </w:pPr>
    </w:p>
    <w:p w:rsidR="00CA2970" w:rsidRPr="006E6AD9" w:rsidRDefault="00CA2970" w:rsidP="00CA2970">
      <w:pPr>
        <w:pStyle w:val="ListParagraph"/>
        <w:numPr>
          <w:ilvl w:val="0"/>
          <w:numId w:val="41"/>
        </w:numPr>
        <w:autoSpaceDE w:val="0"/>
        <w:autoSpaceDN w:val="0"/>
        <w:adjustRightInd w:val="0"/>
        <w:ind w:left="709" w:hanging="567"/>
        <w:contextualSpacing/>
        <w:rPr>
          <w:rFonts w:cs="Arial"/>
        </w:rPr>
      </w:pPr>
      <w:r w:rsidRPr="006E6AD9">
        <w:rPr>
          <w:rFonts w:cs="Arial"/>
        </w:rPr>
        <w:t>where the Economic Operator has</w:t>
      </w:r>
    </w:p>
    <w:p w:rsidR="00CA2970" w:rsidRPr="006E6AD9" w:rsidRDefault="00CA2970" w:rsidP="00CA2970">
      <w:pPr>
        <w:pStyle w:val="ListParagraph"/>
        <w:numPr>
          <w:ilvl w:val="0"/>
          <w:numId w:val="44"/>
        </w:numPr>
        <w:autoSpaceDE w:val="0"/>
        <w:autoSpaceDN w:val="0"/>
        <w:adjustRightInd w:val="0"/>
        <w:ind w:left="851" w:hanging="11"/>
        <w:contextualSpacing/>
        <w:rPr>
          <w:rFonts w:cs="Arial"/>
        </w:rPr>
      </w:pPr>
      <w:r w:rsidRPr="006E6AD9">
        <w:rPr>
          <w:rFonts w:cs="Arial"/>
        </w:rPr>
        <w:t>undertaken to—</w:t>
      </w:r>
    </w:p>
    <w:p w:rsidR="00CA2970" w:rsidRPr="006E6AD9" w:rsidRDefault="00CA2970" w:rsidP="00CA2970">
      <w:pPr>
        <w:autoSpaceDE w:val="0"/>
        <w:autoSpaceDN w:val="0"/>
        <w:adjustRightInd w:val="0"/>
        <w:ind w:left="1407" w:hanging="567"/>
        <w:rPr>
          <w:rFonts w:cs="Arial"/>
        </w:rPr>
      </w:pPr>
      <w:r w:rsidRPr="006E6AD9">
        <w:rPr>
          <w:rFonts w:cs="Arial"/>
        </w:rPr>
        <w:t>(aa) unduly influence the decision-making process of the Contracting Authority, or</w:t>
      </w:r>
    </w:p>
    <w:p w:rsidR="00CA2970" w:rsidRPr="006E6AD9" w:rsidRDefault="00CA2970" w:rsidP="00CA2970">
      <w:pPr>
        <w:autoSpaceDE w:val="0"/>
        <w:autoSpaceDN w:val="0"/>
        <w:adjustRightInd w:val="0"/>
        <w:ind w:left="1407" w:hanging="567"/>
        <w:rPr>
          <w:rFonts w:cs="Arial"/>
        </w:rPr>
      </w:pPr>
      <w:r w:rsidRPr="006E6AD9">
        <w:rPr>
          <w:rFonts w:cs="Arial"/>
        </w:rPr>
        <w:t>(bb) obtain confidential information that may confer upon it undue advantages in the procurement procedure; or</w:t>
      </w:r>
    </w:p>
    <w:p w:rsidR="00CA2970" w:rsidRPr="006E6AD9" w:rsidRDefault="00CA2970" w:rsidP="00CA2970">
      <w:pPr>
        <w:pStyle w:val="ListParagraph"/>
        <w:numPr>
          <w:ilvl w:val="0"/>
          <w:numId w:val="44"/>
        </w:numPr>
        <w:autoSpaceDE w:val="0"/>
        <w:autoSpaceDN w:val="0"/>
        <w:adjustRightInd w:val="0"/>
        <w:ind w:left="993" w:hanging="142"/>
        <w:contextualSpacing/>
        <w:rPr>
          <w:rFonts w:cs="Arial"/>
        </w:rPr>
      </w:pPr>
      <w:r w:rsidRPr="006E6AD9">
        <w:rPr>
          <w:rFonts w:cs="Arial"/>
        </w:rPr>
        <w:t>negligently provided misleading information that may have a material influence on decisions concerning exclusion, selection or award.</w:t>
      </w:r>
    </w:p>
    <w:p w:rsidR="00CA2970" w:rsidRPr="006E6AD9" w:rsidRDefault="00CA2970" w:rsidP="00CA2970"/>
    <w:p w:rsidR="00CA2970" w:rsidRPr="006B2133" w:rsidRDefault="00CA2970" w:rsidP="00CA2970">
      <w:pPr>
        <w:pStyle w:val="BodyTextFirstIndent2"/>
        <w:ind w:left="0" w:firstLine="0"/>
        <w:rPr>
          <w:rFonts w:eastAsia="Calibri" w:cs="Arial"/>
          <w:szCs w:val="24"/>
          <w:lang w:eastAsia="en-US"/>
        </w:rPr>
      </w:pPr>
      <w:r w:rsidRPr="006B2133">
        <w:rPr>
          <w:rFonts w:eastAsia="Calibri" w:cs="Arial"/>
          <w:szCs w:val="24"/>
          <w:lang w:eastAsia="en-US"/>
        </w:rPr>
        <w:t xml:space="preserve">The Economic Operator must confirm if it </w:t>
      </w:r>
      <w:r w:rsidRPr="006B2133">
        <w:t xml:space="preserve">or </w:t>
      </w:r>
      <w:r w:rsidRPr="006B2133">
        <w:rPr>
          <w:rFonts w:cs="Arial"/>
          <w:szCs w:val="24"/>
        </w:rPr>
        <w:t xml:space="preserve">Other Entities whose capacities it is relying upon </w:t>
      </w:r>
      <w:r w:rsidRPr="006B2133">
        <w:rPr>
          <w:rFonts w:eastAsia="Calibri" w:cs="Arial"/>
          <w:szCs w:val="24"/>
          <w:lang w:eastAsia="en-US"/>
        </w:rPr>
        <w:t>meets, or may meet, any of the grounds, paragraphs (a) to (i) above, for discretionary exclus</w:t>
      </w:r>
      <w:r>
        <w:rPr>
          <w:rFonts w:eastAsia="Calibri" w:cs="Arial"/>
          <w:szCs w:val="24"/>
          <w:lang w:eastAsia="en-US"/>
        </w:rPr>
        <w:t>ion by answering question [Q2] in Supplier Profile Certificate B4. Public Sector – Discretionary Exclusion [A] 2017</w:t>
      </w:r>
      <w:r w:rsidRPr="006B2133">
        <w:rPr>
          <w:rFonts w:eastAsia="Calibri" w:cs="Arial"/>
          <w:szCs w:val="24"/>
          <w:lang w:eastAsia="en-US"/>
        </w:rPr>
        <w:t xml:space="preserve">. </w:t>
      </w:r>
    </w:p>
    <w:p w:rsidR="00CA2970" w:rsidRPr="006B2133" w:rsidRDefault="00CA2970" w:rsidP="00CA2970">
      <w:pPr>
        <w:pStyle w:val="BodyTextFirstIndent2"/>
        <w:ind w:left="0" w:firstLine="0"/>
      </w:pPr>
      <w:r w:rsidRPr="006B2133">
        <w:t xml:space="preserve">In such instances the Contracting Authority may exclude the Economic Operator. However, if the Economic Operator confirms that it or </w:t>
      </w:r>
      <w:r w:rsidRPr="006B2133">
        <w:rPr>
          <w:rFonts w:cs="Arial"/>
          <w:szCs w:val="24"/>
        </w:rPr>
        <w:t xml:space="preserve">Other Entities whose capacities it is relying upon </w:t>
      </w:r>
      <w:r w:rsidRPr="006B2133">
        <w:t xml:space="preserve">meets or may meet any of the above grounds then in answering question </w:t>
      </w:r>
      <w:r>
        <w:rPr>
          <w:rFonts w:eastAsia="Calibri" w:cs="Arial"/>
          <w:szCs w:val="24"/>
          <w:lang w:eastAsia="en-US"/>
        </w:rPr>
        <w:t>[Q2</w:t>
      </w:r>
      <w:r w:rsidRPr="006B2133">
        <w:rPr>
          <w:rFonts w:eastAsia="Calibri" w:cs="Arial"/>
          <w:szCs w:val="24"/>
          <w:lang w:eastAsia="en-US"/>
        </w:rPr>
        <w:t xml:space="preserve">] in </w:t>
      </w:r>
      <w:r>
        <w:rPr>
          <w:rFonts w:eastAsia="Calibri" w:cs="Arial"/>
          <w:szCs w:val="24"/>
          <w:lang w:eastAsia="en-US"/>
        </w:rPr>
        <w:t xml:space="preserve">Supplier Profile Certificate B4. Public Sector – Discretionary Exclusion [A] 2017, </w:t>
      </w:r>
      <w:r w:rsidRPr="006B2133">
        <w:t xml:space="preserve">the Economic Operator may provide evidence to the effect that measures taken by it are sufficient to demonstrate its reliability. This evidence will be considered by the Contracting Authority. This is in accordance with Regulation 57(13) </w:t>
      </w:r>
      <w:r w:rsidRPr="006B2133">
        <w:rPr>
          <w:i/>
        </w:rPr>
        <w:t xml:space="preserve">Self-cleaning </w:t>
      </w:r>
      <w:r w:rsidRPr="006B2133">
        <w:t xml:space="preserve">- of the Public Contracts Regulations 2015. </w:t>
      </w:r>
    </w:p>
    <w:p w:rsidR="00CA2970" w:rsidRPr="006B2133" w:rsidRDefault="00CA2970" w:rsidP="00CA2970"/>
    <w:p w:rsidR="00CA2970" w:rsidRDefault="00CA2970" w:rsidP="00CA2970">
      <w:r w:rsidRPr="006B2133">
        <w:t>By satis</w:t>
      </w:r>
      <w:r>
        <w:t>fying the requirements of [Q2</w:t>
      </w:r>
      <w:r w:rsidRPr="006B2133">
        <w:t>] the Economic Operator also confirms that neither it nor the Other Entities upon which it relies,</w:t>
      </w:r>
      <w:r>
        <w:t xml:space="preserve"> are</w:t>
      </w:r>
      <w:r w:rsidRPr="006E6AD9">
        <w:t xml:space="preserve"> guilty of serious misrepresentation in providing </w:t>
      </w:r>
      <w:r w:rsidRPr="006E6AD9">
        <w:lastRenderedPageBreak/>
        <w:t>any information required of it under Regulation 57, 58, 59, 60, 61, 62 or 63 of the Public Contracts Regulations 2015, or in not providing such information in response to a request by the Contracting Authority.</w:t>
      </w:r>
    </w:p>
    <w:p w:rsidR="00221BA1" w:rsidRDefault="00221BA1" w:rsidP="00CA2970"/>
    <w:p w:rsidR="00EB5893" w:rsidRPr="00BF0758" w:rsidRDefault="00EB5893"/>
    <w:sectPr w:rsidR="00EB5893" w:rsidRPr="00BF0758" w:rsidSect="005C5A27">
      <w:footerReference w:type="default" r:id="rId11"/>
      <w:pgSz w:w="11906" w:h="16838" w:code="9"/>
      <w:pgMar w:top="851" w:right="851" w:bottom="357" w:left="1191" w:header="709" w:footer="12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17" w:rsidRDefault="00345917">
      <w:r>
        <w:separator/>
      </w:r>
    </w:p>
  </w:endnote>
  <w:endnote w:type="continuationSeparator" w:id="0">
    <w:p w:rsidR="00345917" w:rsidRDefault="0034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A27" w:rsidRDefault="005C5A27" w:rsidP="005C5A27">
    <w:pPr>
      <w:pStyle w:val="Footer"/>
      <w:pBdr>
        <w:top w:val="single" w:sz="4" w:space="1" w:color="D9D9D9"/>
      </w:pBdr>
      <w:jc w:val="right"/>
    </w:pPr>
    <w:r w:rsidRPr="005C5A27">
      <w:rPr>
        <w:color w:val="7F7F7F"/>
        <w:spacing w:val="60"/>
      </w:rPr>
      <w:t>Page</w:t>
    </w:r>
    <w:r w:rsidR="00540205">
      <w:rPr>
        <w:color w:val="7F7F7F"/>
        <w:spacing w:val="60"/>
      </w:rPr>
      <w:t xml:space="preserve"> </w:t>
    </w:r>
    <w:r w:rsidR="00540205">
      <w:fldChar w:fldCharType="begin"/>
    </w:r>
    <w:r w:rsidR="00540205">
      <w:instrText xml:space="preserve"> PAGE   \* MERGEFORMAT </w:instrText>
    </w:r>
    <w:r w:rsidR="00540205">
      <w:fldChar w:fldCharType="separate"/>
    </w:r>
    <w:r w:rsidR="00540205">
      <w:rPr>
        <w:noProof/>
      </w:rPr>
      <w:t>1</w:t>
    </w:r>
    <w:r w:rsidR="00540205">
      <w:rPr>
        <w:noProof/>
      </w:rPr>
      <w:fldChar w:fldCharType="end"/>
    </w:r>
  </w:p>
  <w:p w:rsidR="00F342E6" w:rsidRDefault="00540205">
    <w:pPr>
      <w:pStyle w:val="Footer"/>
    </w:pPr>
    <w:r>
      <w:t>Issue number 1</w:t>
    </w:r>
    <w:r>
      <w:tab/>
      <w:t xml:space="preserve">             </w:t>
    </w:r>
    <w:r w:rsidR="005C5A27">
      <w:t>Jan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17" w:rsidRDefault="00345917">
      <w:r>
        <w:separator/>
      </w:r>
    </w:p>
  </w:footnote>
  <w:footnote w:type="continuationSeparator" w:id="0">
    <w:p w:rsidR="00345917" w:rsidRDefault="00345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AF09D60"/>
    <w:lvl w:ilvl="0">
      <w:numFmt w:val="bullet"/>
      <w:lvlText w:val="*"/>
      <w:lvlJc w:val="left"/>
    </w:lvl>
  </w:abstractNum>
  <w:abstractNum w:abstractNumId="1" w15:restartNumberingAfterBreak="0">
    <w:nsid w:val="00000016"/>
    <w:multiLevelType w:val="singleLevel"/>
    <w:tmpl w:val="00000016"/>
    <w:name w:val="WW8Num30"/>
    <w:lvl w:ilvl="0">
      <w:start w:val="1"/>
      <w:numFmt w:val="decimal"/>
      <w:lvlText w:val="%1."/>
      <w:lvlJc w:val="left"/>
      <w:pPr>
        <w:tabs>
          <w:tab w:val="num" w:pos="1080"/>
        </w:tabs>
        <w:ind w:left="1080" w:hanging="720"/>
      </w:pPr>
    </w:lvl>
  </w:abstractNum>
  <w:abstractNum w:abstractNumId="2" w15:restartNumberingAfterBreak="0">
    <w:nsid w:val="04670020"/>
    <w:multiLevelType w:val="hybridMultilevel"/>
    <w:tmpl w:val="BD90D488"/>
    <w:lvl w:ilvl="0" w:tplc="96A25C4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4780F33"/>
    <w:multiLevelType w:val="hybridMultilevel"/>
    <w:tmpl w:val="9A067AA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66DFE"/>
    <w:multiLevelType w:val="hybridMultilevel"/>
    <w:tmpl w:val="FDD0CF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33AA1"/>
    <w:multiLevelType w:val="hybridMultilevel"/>
    <w:tmpl w:val="F06E5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77144"/>
    <w:multiLevelType w:val="hybridMultilevel"/>
    <w:tmpl w:val="3A4A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605E9"/>
    <w:multiLevelType w:val="hybridMultilevel"/>
    <w:tmpl w:val="BD90D488"/>
    <w:lvl w:ilvl="0" w:tplc="96A25C40">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BEE6D7C"/>
    <w:multiLevelType w:val="hybridMultilevel"/>
    <w:tmpl w:val="D6D41766"/>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0C31732D"/>
    <w:multiLevelType w:val="hybridMultilevel"/>
    <w:tmpl w:val="8818651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857C0F"/>
    <w:multiLevelType w:val="multilevel"/>
    <w:tmpl w:val="DA7AF6E4"/>
    <w:lvl w:ilvl="0">
      <w:start w:val="1"/>
      <w:numFmt w:val="decimal"/>
      <w:lvlText w:val="%1"/>
      <w:lvlJc w:val="left"/>
      <w:pPr>
        <w:tabs>
          <w:tab w:val="num" w:pos="432"/>
        </w:tabs>
        <w:ind w:left="432" w:hanging="432"/>
      </w:pPr>
      <w:rPr>
        <w:rFonts w:hint="default"/>
        <w:b/>
        <w:i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sz w:val="16"/>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29933DD"/>
    <w:multiLevelType w:val="hybridMultilevel"/>
    <w:tmpl w:val="EAFC5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5F652D"/>
    <w:multiLevelType w:val="hybridMultilevel"/>
    <w:tmpl w:val="583C65F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02603"/>
    <w:multiLevelType w:val="hybridMultilevel"/>
    <w:tmpl w:val="618EECEC"/>
    <w:lvl w:ilvl="0" w:tplc="6C52F35C">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957A05"/>
    <w:multiLevelType w:val="multilevel"/>
    <w:tmpl w:val="9A067AA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0803E3"/>
    <w:multiLevelType w:val="hybridMultilevel"/>
    <w:tmpl w:val="84C620BA"/>
    <w:lvl w:ilvl="0" w:tplc="F9C0F604">
      <w:start w:val="1"/>
      <w:numFmt w:val="lowerRoman"/>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C6A383A"/>
    <w:multiLevelType w:val="hybridMultilevel"/>
    <w:tmpl w:val="ACB66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CD0873"/>
    <w:multiLevelType w:val="hybridMultilevel"/>
    <w:tmpl w:val="198C7FA0"/>
    <w:lvl w:ilvl="0" w:tplc="08090017">
      <w:start w:val="1"/>
      <w:numFmt w:val="lowerLetter"/>
      <w:lvlText w:val="%1)"/>
      <w:lvlJc w:val="left"/>
      <w:pPr>
        <w:ind w:left="1146" w:hanging="360"/>
      </w:pPr>
    </w:lvl>
    <w:lvl w:ilvl="1" w:tplc="B0E6E552">
      <w:start w:val="1"/>
      <w:numFmt w:val="lowerRoman"/>
      <w:lvlText w:val="(%2)"/>
      <w:lvlJc w:val="left"/>
      <w:pPr>
        <w:ind w:left="2226" w:hanging="720"/>
      </w:pPr>
      <w:rPr>
        <w:rFonts w:hint="default"/>
      </w:r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1E0F4AE3"/>
    <w:multiLevelType w:val="hybridMultilevel"/>
    <w:tmpl w:val="EF74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7C3387"/>
    <w:multiLevelType w:val="hybridMultilevel"/>
    <w:tmpl w:val="11A65180"/>
    <w:lvl w:ilvl="0" w:tplc="C462706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DF7D27"/>
    <w:multiLevelType w:val="hybridMultilevel"/>
    <w:tmpl w:val="2F925682"/>
    <w:lvl w:ilvl="0" w:tplc="0809000F">
      <w:start w:val="1"/>
      <w:numFmt w:val="decimal"/>
      <w:lvlText w:val="%1."/>
      <w:lvlJc w:val="left"/>
      <w:pPr>
        <w:tabs>
          <w:tab w:val="num" w:pos="1515"/>
        </w:tabs>
        <w:ind w:left="1515" w:hanging="360"/>
      </w:pPr>
    </w:lvl>
    <w:lvl w:ilvl="1" w:tplc="08090019" w:tentative="1">
      <w:start w:val="1"/>
      <w:numFmt w:val="lowerLetter"/>
      <w:lvlText w:val="%2."/>
      <w:lvlJc w:val="left"/>
      <w:pPr>
        <w:tabs>
          <w:tab w:val="num" w:pos="2235"/>
        </w:tabs>
        <w:ind w:left="2235" w:hanging="360"/>
      </w:pPr>
    </w:lvl>
    <w:lvl w:ilvl="2" w:tplc="0809001B" w:tentative="1">
      <w:start w:val="1"/>
      <w:numFmt w:val="lowerRoman"/>
      <w:lvlText w:val="%3."/>
      <w:lvlJc w:val="right"/>
      <w:pPr>
        <w:tabs>
          <w:tab w:val="num" w:pos="2955"/>
        </w:tabs>
        <w:ind w:left="2955" w:hanging="180"/>
      </w:pPr>
    </w:lvl>
    <w:lvl w:ilvl="3" w:tplc="0809000F" w:tentative="1">
      <w:start w:val="1"/>
      <w:numFmt w:val="decimal"/>
      <w:lvlText w:val="%4."/>
      <w:lvlJc w:val="left"/>
      <w:pPr>
        <w:tabs>
          <w:tab w:val="num" w:pos="3675"/>
        </w:tabs>
        <w:ind w:left="3675" w:hanging="360"/>
      </w:pPr>
    </w:lvl>
    <w:lvl w:ilvl="4" w:tplc="08090019" w:tentative="1">
      <w:start w:val="1"/>
      <w:numFmt w:val="lowerLetter"/>
      <w:lvlText w:val="%5."/>
      <w:lvlJc w:val="left"/>
      <w:pPr>
        <w:tabs>
          <w:tab w:val="num" w:pos="4395"/>
        </w:tabs>
        <w:ind w:left="4395" w:hanging="360"/>
      </w:pPr>
    </w:lvl>
    <w:lvl w:ilvl="5" w:tplc="0809001B" w:tentative="1">
      <w:start w:val="1"/>
      <w:numFmt w:val="lowerRoman"/>
      <w:lvlText w:val="%6."/>
      <w:lvlJc w:val="right"/>
      <w:pPr>
        <w:tabs>
          <w:tab w:val="num" w:pos="5115"/>
        </w:tabs>
        <w:ind w:left="5115" w:hanging="180"/>
      </w:pPr>
    </w:lvl>
    <w:lvl w:ilvl="6" w:tplc="0809000F" w:tentative="1">
      <w:start w:val="1"/>
      <w:numFmt w:val="decimal"/>
      <w:lvlText w:val="%7."/>
      <w:lvlJc w:val="left"/>
      <w:pPr>
        <w:tabs>
          <w:tab w:val="num" w:pos="5835"/>
        </w:tabs>
        <w:ind w:left="5835" w:hanging="360"/>
      </w:pPr>
    </w:lvl>
    <w:lvl w:ilvl="7" w:tplc="08090019" w:tentative="1">
      <w:start w:val="1"/>
      <w:numFmt w:val="lowerLetter"/>
      <w:lvlText w:val="%8."/>
      <w:lvlJc w:val="left"/>
      <w:pPr>
        <w:tabs>
          <w:tab w:val="num" w:pos="6555"/>
        </w:tabs>
        <w:ind w:left="6555" w:hanging="360"/>
      </w:pPr>
    </w:lvl>
    <w:lvl w:ilvl="8" w:tplc="0809001B" w:tentative="1">
      <w:start w:val="1"/>
      <w:numFmt w:val="lowerRoman"/>
      <w:lvlText w:val="%9."/>
      <w:lvlJc w:val="right"/>
      <w:pPr>
        <w:tabs>
          <w:tab w:val="num" w:pos="7275"/>
        </w:tabs>
        <w:ind w:left="7275" w:hanging="180"/>
      </w:pPr>
    </w:lvl>
  </w:abstractNum>
  <w:abstractNum w:abstractNumId="21" w15:restartNumberingAfterBreak="0">
    <w:nsid w:val="2152751E"/>
    <w:multiLevelType w:val="hybridMultilevel"/>
    <w:tmpl w:val="946E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FC4421"/>
    <w:multiLevelType w:val="hybridMultilevel"/>
    <w:tmpl w:val="77685E26"/>
    <w:lvl w:ilvl="0" w:tplc="6F069A46">
      <w:start w:val="1"/>
      <w:numFmt w:val="bullet"/>
      <w:lvlText w:val="o"/>
      <w:lvlJc w:val="left"/>
      <w:pPr>
        <w:tabs>
          <w:tab w:val="num" w:pos="720"/>
        </w:tabs>
        <w:ind w:left="720" w:hanging="360"/>
      </w:pPr>
      <w:rPr>
        <w:rFonts w:ascii="Courier New" w:hAnsi="Courier New" w:cs="Courier New"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C00AC0"/>
    <w:multiLevelType w:val="multilevel"/>
    <w:tmpl w:val="3062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5720C1"/>
    <w:multiLevelType w:val="hybridMultilevel"/>
    <w:tmpl w:val="796A3A5A"/>
    <w:lvl w:ilvl="0" w:tplc="634E0F8A">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1E59DF"/>
    <w:multiLevelType w:val="hybridMultilevel"/>
    <w:tmpl w:val="3A2AA5C0"/>
    <w:lvl w:ilvl="0" w:tplc="36E091F0">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DCF1945"/>
    <w:multiLevelType w:val="hybridMultilevel"/>
    <w:tmpl w:val="5DA0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28780C"/>
    <w:multiLevelType w:val="hybridMultilevel"/>
    <w:tmpl w:val="626AE75C"/>
    <w:lvl w:ilvl="0" w:tplc="0809001B">
      <w:start w:val="1"/>
      <w:numFmt w:val="lowerRoman"/>
      <w:lvlText w:val="%1."/>
      <w:lvlJc w:val="right"/>
      <w:pPr>
        <w:ind w:left="742" w:hanging="360"/>
      </w:pPr>
    </w:lvl>
    <w:lvl w:ilvl="1" w:tplc="08090019">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8" w15:restartNumberingAfterBreak="0">
    <w:nsid w:val="30586C73"/>
    <w:multiLevelType w:val="hybridMultilevel"/>
    <w:tmpl w:val="7A661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2E1BA2"/>
    <w:multiLevelType w:val="hybridMultilevel"/>
    <w:tmpl w:val="B0427B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FD50B6"/>
    <w:multiLevelType w:val="singleLevel"/>
    <w:tmpl w:val="673AAE50"/>
    <w:lvl w:ilvl="0">
      <w:start w:val="1"/>
      <w:numFmt w:val="decimal"/>
      <w:pStyle w:val="ANNEXECLAUSE"/>
      <w:lvlText w:val="A.%1"/>
      <w:lvlJc w:val="left"/>
      <w:pPr>
        <w:tabs>
          <w:tab w:val="num" w:pos="720"/>
        </w:tabs>
        <w:ind w:left="360" w:hanging="360"/>
      </w:pPr>
    </w:lvl>
  </w:abstractNum>
  <w:abstractNum w:abstractNumId="31" w15:restartNumberingAfterBreak="0">
    <w:nsid w:val="40BD5942"/>
    <w:multiLevelType w:val="hybridMultilevel"/>
    <w:tmpl w:val="F44A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2325DD"/>
    <w:multiLevelType w:val="hybridMultilevel"/>
    <w:tmpl w:val="F1E81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3623881"/>
    <w:multiLevelType w:val="hybridMultilevel"/>
    <w:tmpl w:val="F728567E"/>
    <w:lvl w:ilvl="0" w:tplc="0809001B">
      <w:start w:val="1"/>
      <w:numFmt w:val="lowerRoman"/>
      <w:lvlText w:val="%1."/>
      <w:lvlJc w:val="right"/>
      <w:pPr>
        <w:ind w:left="2840" w:hanging="360"/>
      </w:pPr>
    </w:lvl>
    <w:lvl w:ilvl="1" w:tplc="08090019">
      <w:start w:val="1"/>
      <w:numFmt w:val="lowerLetter"/>
      <w:lvlText w:val="%2."/>
      <w:lvlJc w:val="left"/>
      <w:pPr>
        <w:ind w:left="3560" w:hanging="360"/>
      </w:pPr>
    </w:lvl>
    <w:lvl w:ilvl="2" w:tplc="0809001B" w:tentative="1">
      <w:start w:val="1"/>
      <w:numFmt w:val="lowerRoman"/>
      <w:lvlText w:val="%3."/>
      <w:lvlJc w:val="right"/>
      <w:pPr>
        <w:ind w:left="4280" w:hanging="180"/>
      </w:pPr>
    </w:lvl>
    <w:lvl w:ilvl="3" w:tplc="0809000F" w:tentative="1">
      <w:start w:val="1"/>
      <w:numFmt w:val="decimal"/>
      <w:lvlText w:val="%4."/>
      <w:lvlJc w:val="left"/>
      <w:pPr>
        <w:ind w:left="5000" w:hanging="360"/>
      </w:pPr>
    </w:lvl>
    <w:lvl w:ilvl="4" w:tplc="08090019" w:tentative="1">
      <w:start w:val="1"/>
      <w:numFmt w:val="lowerLetter"/>
      <w:lvlText w:val="%5."/>
      <w:lvlJc w:val="left"/>
      <w:pPr>
        <w:ind w:left="5720" w:hanging="360"/>
      </w:pPr>
    </w:lvl>
    <w:lvl w:ilvl="5" w:tplc="0809001B" w:tentative="1">
      <w:start w:val="1"/>
      <w:numFmt w:val="lowerRoman"/>
      <w:lvlText w:val="%6."/>
      <w:lvlJc w:val="right"/>
      <w:pPr>
        <w:ind w:left="6440" w:hanging="180"/>
      </w:pPr>
    </w:lvl>
    <w:lvl w:ilvl="6" w:tplc="0809000F" w:tentative="1">
      <w:start w:val="1"/>
      <w:numFmt w:val="decimal"/>
      <w:lvlText w:val="%7."/>
      <w:lvlJc w:val="left"/>
      <w:pPr>
        <w:ind w:left="7160" w:hanging="360"/>
      </w:pPr>
    </w:lvl>
    <w:lvl w:ilvl="7" w:tplc="08090019" w:tentative="1">
      <w:start w:val="1"/>
      <w:numFmt w:val="lowerLetter"/>
      <w:lvlText w:val="%8."/>
      <w:lvlJc w:val="left"/>
      <w:pPr>
        <w:ind w:left="7880" w:hanging="360"/>
      </w:pPr>
    </w:lvl>
    <w:lvl w:ilvl="8" w:tplc="0809001B" w:tentative="1">
      <w:start w:val="1"/>
      <w:numFmt w:val="lowerRoman"/>
      <w:lvlText w:val="%9."/>
      <w:lvlJc w:val="right"/>
      <w:pPr>
        <w:ind w:left="8600" w:hanging="180"/>
      </w:pPr>
    </w:lvl>
  </w:abstractNum>
  <w:abstractNum w:abstractNumId="34" w15:restartNumberingAfterBreak="0">
    <w:nsid w:val="44286F15"/>
    <w:multiLevelType w:val="hybridMultilevel"/>
    <w:tmpl w:val="AC024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4A45BC"/>
    <w:multiLevelType w:val="hybridMultilevel"/>
    <w:tmpl w:val="AA0E88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70D07B7"/>
    <w:multiLevelType w:val="multilevel"/>
    <w:tmpl w:val="8818651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122C58"/>
    <w:multiLevelType w:val="hybridMultilevel"/>
    <w:tmpl w:val="4EC8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0C152A"/>
    <w:multiLevelType w:val="hybridMultilevel"/>
    <w:tmpl w:val="2F46D5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C5C1B2E"/>
    <w:multiLevelType w:val="hybridMultilevel"/>
    <w:tmpl w:val="DCE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7F7950"/>
    <w:multiLevelType w:val="hybridMultilevel"/>
    <w:tmpl w:val="A7E8214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4E0C68A8"/>
    <w:multiLevelType w:val="hybridMultilevel"/>
    <w:tmpl w:val="964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682DDC"/>
    <w:multiLevelType w:val="hybridMultilevel"/>
    <w:tmpl w:val="1988BD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EB111F7"/>
    <w:multiLevelType w:val="hybridMultilevel"/>
    <w:tmpl w:val="B78027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124228B"/>
    <w:multiLevelType w:val="hybridMultilevel"/>
    <w:tmpl w:val="72A810E2"/>
    <w:lvl w:ilvl="0" w:tplc="04090005">
      <w:start w:val="1"/>
      <w:numFmt w:val="bullet"/>
      <w:lvlText w:val=""/>
      <w:lvlJc w:val="left"/>
      <w:pPr>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5C308E"/>
    <w:multiLevelType w:val="hybridMultilevel"/>
    <w:tmpl w:val="FFFAD2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46200C6"/>
    <w:multiLevelType w:val="hybridMultilevel"/>
    <w:tmpl w:val="626AE75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5696350"/>
    <w:multiLevelType w:val="hybridMultilevel"/>
    <w:tmpl w:val="6E48282C"/>
    <w:lvl w:ilvl="0" w:tplc="D4A663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181F03"/>
    <w:multiLevelType w:val="hybridMultilevel"/>
    <w:tmpl w:val="F482C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1C2488"/>
    <w:multiLevelType w:val="hybridMultilevel"/>
    <w:tmpl w:val="3B8E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B972E3"/>
    <w:multiLevelType w:val="hybridMultilevel"/>
    <w:tmpl w:val="72186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6069EA"/>
    <w:multiLevelType w:val="multilevel"/>
    <w:tmpl w:val="F864B2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0E5D1B"/>
    <w:multiLevelType w:val="multilevel"/>
    <w:tmpl w:val="57E431FE"/>
    <w:lvl w:ilvl="0">
      <w:start w:val="23"/>
      <w:numFmt w:val="decimal"/>
      <w:lvlText w:val="%1."/>
      <w:lvlJc w:val="left"/>
      <w:pPr>
        <w:tabs>
          <w:tab w:val="num" w:pos="530"/>
        </w:tabs>
        <w:ind w:left="530" w:hanging="360"/>
      </w:pPr>
      <w:rPr>
        <w:b/>
        <w:i w:val="0"/>
      </w:rPr>
    </w:lvl>
    <w:lvl w:ilvl="1">
      <w:start w:val="1"/>
      <w:numFmt w:val="decimal"/>
      <w:pStyle w:val="H2"/>
      <w:suff w:val="space"/>
      <w:lvlText w:val="(%2)"/>
      <w:lvlJc w:val="left"/>
      <w:pPr>
        <w:ind w:left="0" w:firstLine="170"/>
      </w:pPr>
      <w:rPr>
        <w:b w:val="0"/>
        <w:i w:val="0"/>
      </w:rPr>
    </w:lvl>
    <w:lvl w:ilvl="2">
      <w:start w:val="1"/>
      <w:numFmt w:val="lowerLetter"/>
      <w:pStyle w:val="N3"/>
      <w:lvlText w:val="(%3)"/>
      <w:lvlJc w:val="left"/>
      <w:pPr>
        <w:tabs>
          <w:tab w:val="num" w:pos="397"/>
        </w:tabs>
        <w:ind w:left="39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53" w15:restartNumberingAfterBreak="0">
    <w:nsid w:val="6C303A38"/>
    <w:multiLevelType w:val="multilevel"/>
    <w:tmpl w:val="9A067AA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9D4A8F"/>
    <w:multiLevelType w:val="hybridMultilevel"/>
    <w:tmpl w:val="198C7FA0"/>
    <w:lvl w:ilvl="0" w:tplc="08090017">
      <w:start w:val="1"/>
      <w:numFmt w:val="lowerLetter"/>
      <w:lvlText w:val="%1)"/>
      <w:lvlJc w:val="left"/>
      <w:pPr>
        <w:ind w:left="720" w:hanging="360"/>
      </w:pPr>
    </w:lvl>
    <w:lvl w:ilvl="1" w:tplc="B0E6E55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062DD2"/>
    <w:multiLevelType w:val="hybridMultilevel"/>
    <w:tmpl w:val="F864B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455CF8"/>
    <w:multiLevelType w:val="hybridMultilevel"/>
    <w:tmpl w:val="BC489B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B77236"/>
    <w:multiLevelType w:val="hybridMultilevel"/>
    <w:tmpl w:val="F98E7612"/>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B537A5"/>
    <w:multiLevelType w:val="hybridMultilevel"/>
    <w:tmpl w:val="C728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7755C3"/>
    <w:multiLevelType w:val="hybridMultilevel"/>
    <w:tmpl w:val="E938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D60467"/>
    <w:multiLevelType w:val="hybridMultilevel"/>
    <w:tmpl w:val="1652A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8"/>
  </w:num>
  <w:num w:numId="3">
    <w:abstractNumId w:val="60"/>
  </w:num>
  <w:num w:numId="4">
    <w:abstractNumId w:val="10"/>
  </w:num>
  <w:num w:numId="5">
    <w:abstractNumId w:val="1"/>
  </w:num>
  <w:num w:numId="6">
    <w:abstractNumId w:val="48"/>
  </w:num>
  <w:num w:numId="7">
    <w:abstractNumId w:val="56"/>
  </w:num>
  <w:num w:numId="8">
    <w:abstractNumId w:val="55"/>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11"/>
  </w:num>
  <w:num w:numId="11">
    <w:abstractNumId w:val="51"/>
  </w:num>
  <w:num w:numId="12">
    <w:abstractNumId w:val="12"/>
  </w:num>
  <w:num w:numId="13">
    <w:abstractNumId w:val="42"/>
  </w:num>
  <w:num w:numId="14">
    <w:abstractNumId w:val="45"/>
  </w:num>
  <w:num w:numId="15">
    <w:abstractNumId w:val="20"/>
  </w:num>
  <w:num w:numId="16">
    <w:abstractNumId w:val="43"/>
  </w:num>
  <w:num w:numId="17">
    <w:abstractNumId w:val="30"/>
  </w:num>
  <w:num w:numId="18">
    <w:abstractNumId w:val="24"/>
  </w:num>
  <w:num w:numId="19">
    <w:abstractNumId w:val="25"/>
  </w:num>
  <w:num w:numId="20">
    <w:abstractNumId w:val="57"/>
  </w:num>
  <w:num w:numId="21">
    <w:abstractNumId w:val="44"/>
  </w:num>
  <w:num w:numId="22">
    <w:abstractNumId w:val="29"/>
  </w:num>
  <w:num w:numId="23">
    <w:abstractNumId w:val="5"/>
  </w:num>
  <w:num w:numId="24">
    <w:abstractNumId w:val="50"/>
  </w:num>
  <w:num w:numId="25">
    <w:abstractNumId w:val="34"/>
  </w:num>
  <w:num w:numId="26">
    <w:abstractNumId w:val="9"/>
  </w:num>
  <w:num w:numId="27">
    <w:abstractNumId w:val="36"/>
  </w:num>
  <w:num w:numId="28">
    <w:abstractNumId w:val="16"/>
  </w:num>
  <w:num w:numId="29">
    <w:abstractNumId w:val="38"/>
  </w:num>
  <w:num w:numId="30">
    <w:abstractNumId w:val="0"/>
    <w:lvlOverride w:ilvl="0">
      <w:lvl w:ilvl="0">
        <w:numFmt w:val="bullet"/>
        <w:lvlText w:val=""/>
        <w:legacy w:legacy="1" w:legacySpace="0" w:legacyIndent="0"/>
        <w:lvlJc w:val="left"/>
        <w:rPr>
          <w:rFonts w:ascii="Symbol" w:hAnsi="Symbol" w:hint="default"/>
        </w:rPr>
      </w:lvl>
    </w:lvlOverride>
  </w:num>
  <w:num w:numId="31">
    <w:abstractNumId w:val="3"/>
  </w:num>
  <w:num w:numId="32">
    <w:abstractNumId w:val="14"/>
  </w:num>
  <w:num w:numId="33">
    <w:abstractNumId w:val="53"/>
  </w:num>
  <w:num w:numId="34">
    <w:abstractNumId w:val="22"/>
  </w:num>
  <w:num w:numId="35">
    <w:abstractNumId w:val="4"/>
  </w:num>
  <w:num w:numId="36">
    <w:abstractNumId w:val="40"/>
  </w:num>
  <w:num w:numId="37">
    <w:abstractNumId w:val="58"/>
  </w:num>
  <w:num w:numId="38">
    <w:abstractNumId w:val="26"/>
  </w:num>
  <w:num w:numId="39">
    <w:abstractNumId w:val="13"/>
  </w:num>
  <w:num w:numId="40">
    <w:abstractNumId w:val="17"/>
  </w:num>
  <w:num w:numId="41">
    <w:abstractNumId w:val="54"/>
  </w:num>
  <w:num w:numId="42">
    <w:abstractNumId w:val="27"/>
  </w:num>
  <w:num w:numId="43">
    <w:abstractNumId w:val="19"/>
  </w:num>
  <w:num w:numId="44">
    <w:abstractNumId w:val="46"/>
  </w:num>
  <w:num w:numId="45">
    <w:abstractNumId w:val="37"/>
  </w:num>
  <w:num w:numId="46">
    <w:abstractNumId w:val="59"/>
  </w:num>
  <w:num w:numId="47">
    <w:abstractNumId w:val="32"/>
  </w:num>
  <w:num w:numId="48">
    <w:abstractNumId w:val="18"/>
  </w:num>
  <w:num w:numId="49">
    <w:abstractNumId w:val="39"/>
  </w:num>
  <w:num w:numId="50">
    <w:abstractNumId w:val="28"/>
  </w:num>
  <w:num w:numId="51">
    <w:abstractNumId w:val="49"/>
  </w:num>
  <w:num w:numId="52">
    <w:abstractNumId w:val="6"/>
  </w:num>
  <w:num w:numId="53">
    <w:abstractNumId w:val="21"/>
  </w:num>
  <w:num w:numId="54">
    <w:abstractNumId w:val="23"/>
  </w:num>
  <w:num w:numId="55">
    <w:abstractNumId w:val="2"/>
  </w:num>
  <w:num w:numId="56">
    <w:abstractNumId w:val="15"/>
  </w:num>
  <w:num w:numId="57">
    <w:abstractNumId w:val="33"/>
  </w:num>
  <w:num w:numId="58">
    <w:abstractNumId w:val="7"/>
  </w:num>
  <w:num w:numId="59">
    <w:abstractNumId w:val="31"/>
  </w:num>
  <w:num w:numId="60">
    <w:abstractNumId w:val="52"/>
    <w:lvlOverride w:ilvl="0">
      <w:startOverride w:val="23"/>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50"/>
    <w:rsid w:val="00001F12"/>
    <w:rsid w:val="00001FBF"/>
    <w:rsid w:val="00004648"/>
    <w:rsid w:val="000059ED"/>
    <w:rsid w:val="000071B9"/>
    <w:rsid w:val="000101E7"/>
    <w:rsid w:val="0001024B"/>
    <w:rsid w:val="000107F0"/>
    <w:rsid w:val="000118D5"/>
    <w:rsid w:val="00013863"/>
    <w:rsid w:val="000147E6"/>
    <w:rsid w:val="000159C4"/>
    <w:rsid w:val="000164E1"/>
    <w:rsid w:val="00016722"/>
    <w:rsid w:val="00017BDE"/>
    <w:rsid w:val="000229F7"/>
    <w:rsid w:val="00022FE4"/>
    <w:rsid w:val="00024E6F"/>
    <w:rsid w:val="00026725"/>
    <w:rsid w:val="00032BF5"/>
    <w:rsid w:val="00036278"/>
    <w:rsid w:val="000422FC"/>
    <w:rsid w:val="000432A4"/>
    <w:rsid w:val="00044D05"/>
    <w:rsid w:val="000455CA"/>
    <w:rsid w:val="00046E7E"/>
    <w:rsid w:val="00051184"/>
    <w:rsid w:val="00051AC9"/>
    <w:rsid w:val="0005211A"/>
    <w:rsid w:val="00056697"/>
    <w:rsid w:val="0006031E"/>
    <w:rsid w:val="00061FED"/>
    <w:rsid w:val="00067153"/>
    <w:rsid w:val="00073E00"/>
    <w:rsid w:val="000743DB"/>
    <w:rsid w:val="000751AA"/>
    <w:rsid w:val="00076D30"/>
    <w:rsid w:val="00080329"/>
    <w:rsid w:val="000805C4"/>
    <w:rsid w:val="00081700"/>
    <w:rsid w:val="000870A0"/>
    <w:rsid w:val="000876C9"/>
    <w:rsid w:val="00093A6F"/>
    <w:rsid w:val="00094C6F"/>
    <w:rsid w:val="00095F8D"/>
    <w:rsid w:val="0009765D"/>
    <w:rsid w:val="000A06ED"/>
    <w:rsid w:val="000A1600"/>
    <w:rsid w:val="000A564F"/>
    <w:rsid w:val="000A6081"/>
    <w:rsid w:val="000A7658"/>
    <w:rsid w:val="000B32AF"/>
    <w:rsid w:val="000B5E93"/>
    <w:rsid w:val="000B7516"/>
    <w:rsid w:val="000B7713"/>
    <w:rsid w:val="000C0229"/>
    <w:rsid w:val="000C3B20"/>
    <w:rsid w:val="000C542B"/>
    <w:rsid w:val="000C701F"/>
    <w:rsid w:val="000D03FA"/>
    <w:rsid w:val="000D06A7"/>
    <w:rsid w:val="000D2971"/>
    <w:rsid w:val="000D3D37"/>
    <w:rsid w:val="000D46B1"/>
    <w:rsid w:val="000D4819"/>
    <w:rsid w:val="000D5F85"/>
    <w:rsid w:val="000D7383"/>
    <w:rsid w:val="000E175C"/>
    <w:rsid w:val="000E52A4"/>
    <w:rsid w:val="000E57EC"/>
    <w:rsid w:val="000F1918"/>
    <w:rsid w:val="000F21BB"/>
    <w:rsid w:val="000F3735"/>
    <w:rsid w:val="000F3872"/>
    <w:rsid w:val="000F6799"/>
    <w:rsid w:val="000F6A4B"/>
    <w:rsid w:val="000F7698"/>
    <w:rsid w:val="00101B63"/>
    <w:rsid w:val="00103DF1"/>
    <w:rsid w:val="00107B88"/>
    <w:rsid w:val="00110E24"/>
    <w:rsid w:val="001130DC"/>
    <w:rsid w:val="00113F41"/>
    <w:rsid w:val="001155BF"/>
    <w:rsid w:val="00115898"/>
    <w:rsid w:val="00115930"/>
    <w:rsid w:val="0011697C"/>
    <w:rsid w:val="00121954"/>
    <w:rsid w:val="0012687A"/>
    <w:rsid w:val="001332DC"/>
    <w:rsid w:val="00141DB6"/>
    <w:rsid w:val="0014219A"/>
    <w:rsid w:val="00143FDE"/>
    <w:rsid w:val="001444E6"/>
    <w:rsid w:val="001448C0"/>
    <w:rsid w:val="00147E72"/>
    <w:rsid w:val="00155DE3"/>
    <w:rsid w:val="00156CE6"/>
    <w:rsid w:val="00156E2A"/>
    <w:rsid w:val="00157A47"/>
    <w:rsid w:val="00160C5B"/>
    <w:rsid w:val="00161869"/>
    <w:rsid w:val="001636F9"/>
    <w:rsid w:val="0016455B"/>
    <w:rsid w:val="00164DFB"/>
    <w:rsid w:val="00165E8B"/>
    <w:rsid w:val="00166EFD"/>
    <w:rsid w:val="0016794E"/>
    <w:rsid w:val="001722E1"/>
    <w:rsid w:val="00181AFF"/>
    <w:rsid w:val="001840FF"/>
    <w:rsid w:val="001842DF"/>
    <w:rsid w:val="00185EBD"/>
    <w:rsid w:val="00186032"/>
    <w:rsid w:val="00187446"/>
    <w:rsid w:val="001927EE"/>
    <w:rsid w:val="00193C0C"/>
    <w:rsid w:val="001940A4"/>
    <w:rsid w:val="00195F8B"/>
    <w:rsid w:val="0019745C"/>
    <w:rsid w:val="001A10F2"/>
    <w:rsid w:val="001A2204"/>
    <w:rsid w:val="001B14FD"/>
    <w:rsid w:val="001B1874"/>
    <w:rsid w:val="001B746B"/>
    <w:rsid w:val="001C2FD2"/>
    <w:rsid w:val="001C5F75"/>
    <w:rsid w:val="001C62DB"/>
    <w:rsid w:val="001C7D57"/>
    <w:rsid w:val="001D0A0A"/>
    <w:rsid w:val="001D6DCB"/>
    <w:rsid w:val="001E0FAD"/>
    <w:rsid w:val="001E4118"/>
    <w:rsid w:val="001E4424"/>
    <w:rsid w:val="001F0701"/>
    <w:rsid w:val="001F51CB"/>
    <w:rsid w:val="001F5C2B"/>
    <w:rsid w:val="0020417A"/>
    <w:rsid w:val="00204F05"/>
    <w:rsid w:val="00205086"/>
    <w:rsid w:val="00205C0E"/>
    <w:rsid w:val="00206F81"/>
    <w:rsid w:val="0020794F"/>
    <w:rsid w:val="00211CDA"/>
    <w:rsid w:val="00214059"/>
    <w:rsid w:val="00215223"/>
    <w:rsid w:val="00215A4D"/>
    <w:rsid w:val="00217066"/>
    <w:rsid w:val="002209FC"/>
    <w:rsid w:val="00221600"/>
    <w:rsid w:val="00221BA1"/>
    <w:rsid w:val="002229D6"/>
    <w:rsid w:val="00225457"/>
    <w:rsid w:val="00225738"/>
    <w:rsid w:val="00226328"/>
    <w:rsid w:val="00230DDC"/>
    <w:rsid w:val="002334B7"/>
    <w:rsid w:val="00233686"/>
    <w:rsid w:val="0023637E"/>
    <w:rsid w:val="002365D5"/>
    <w:rsid w:val="00240C38"/>
    <w:rsid w:val="00241062"/>
    <w:rsid w:val="00250DA5"/>
    <w:rsid w:val="00251623"/>
    <w:rsid w:val="0025304A"/>
    <w:rsid w:val="00253195"/>
    <w:rsid w:val="00255CBF"/>
    <w:rsid w:val="00255D01"/>
    <w:rsid w:val="00256CA2"/>
    <w:rsid w:val="00256F8C"/>
    <w:rsid w:val="002611A4"/>
    <w:rsid w:val="00263221"/>
    <w:rsid w:val="0026406D"/>
    <w:rsid w:val="00270F65"/>
    <w:rsid w:val="00271D8D"/>
    <w:rsid w:val="00274347"/>
    <w:rsid w:val="002749B8"/>
    <w:rsid w:val="002803C7"/>
    <w:rsid w:val="00281F9F"/>
    <w:rsid w:val="00291D3D"/>
    <w:rsid w:val="00292C90"/>
    <w:rsid w:val="00292CD8"/>
    <w:rsid w:val="002939F9"/>
    <w:rsid w:val="002954AD"/>
    <w:rsid w:val="0029718B"/>
    <w:rsid w:val="00297D41"/>
    <w:rsid w:val="002A0E5C"/>
    <w:rsid w:val="002A2321"/>
    <w:rsid w:val="002A4A98"/>
    <w:rsid w:val="002A4CFA"/>
    <w:rsid w:val="002A7EFC"/>
    <w:rsid w:val="002B059C"/>
    <w:rsid w:val="002B2134"/>
    <w:rsid w:val="002B6766"/>
    <w:rsid w:val="002C2E6A"/>
    <w:rsid w:val="002D0312"/>
    <w:rsid w:val="002D2181"/>
    <w:rsid w:val="002D3BE9"/>
    <w:rsid w:val="002D45CC"/>
    <w:rsid w:val="002D4694"/>
    <w:rsid w:val="002D56C5"/>
    <w:rsid w:val="002D65E5"/>
    <w:rsid w:val="002D6BEC"/>
    <w:rsid w:val="002D7DAC"/>
    <w:rsid w:val="002E133A"/>
    <w:rsid w:val="002E2A2C"/>
    <w:rsid w:val="002E3554"/>
    <w:rsid w:val="002E37C0"/>
    <w:rsid w:val="002E46DD"/>
    <w:rsid w:val="002E65B7"/>
    <w:rsid w:val="002F0E65"/>
    <w:rsid w:val="002F5409"/>
    <w:rsid w:val="002F7542"/>
    <w:rsid w:val="002F7E14"/>
    <w:rsid w:val="0030180A"/>
    <w:rsid w:val="00312F68"/>
    <w:rsid w:val="00315776"/>
    <w:rsid w:val="00316D72"/>
    <w:rsid w:val="00326ACC"/>
    <w:rsid w:val="00327F37"/>
    <w:rsid w:val="00330792"/>
    <w:rsid w:val="00330E63"/>
    <w:rsid w:val="00335E12"/>
    <w:rsid w:val="003364EA"/>
    <w:rsid w:val="003368B9"/>
    <w:rsid w:val="00340484"/>
    <w:rsid w:val="00341F73"/>
    <w:rsid w:val="0034205A"/>
    <w:rsid w:val="003439C2"/>
    <w:rsid w:val="00343E2B"/>
    <w:rsid w:val="00345917"/>
    <w:rsid w:val="00351AA3"/>
    <w:rsid w:val="00353C51"/>
    <w:rsid w:val="00354A68"/>
    <w:rsid w:val="0035750B"/>
    <w:rsid w:val="00357E83"/>
    <w:rsid w:val="003606D3"/>
    <w:rsid w:val="00362BE2"/>
    <w:rsid w:val="00364AE4"/>
    <w:rsid w:val="00364C6E"/>
    <w:rsid w:val="00373FF1"/>
    <w:rsid w:val="0037618B"/>
    <w:rsid w:val="00377A89"/>
    <w:rsid w:val="003809B9"/>
    <w:rsid w:val="003818F3"/>
    <w:rsid w:val="00381982"/>
    <w:rsid w:val="00383A8D"/>
    <w:rsid w:val="00386131"/>
    <w:rsid w:val="00386817"/>
    <w:rsid w:val="003901C6"/>
    <w:rsid w:val="00391016"/>
    <w:rsid w:val="003936F7"/>
    <w:rsid w:val="003945BE"/>
    <w:rsid w:val="00396EF1"/>
    <w:rsid w:val="0039711D"/>
    <w:rsid w:val="00397B60"/>
    <w:rsid w:val="003A0376"/>
    <w:rsid w:val="003A0F1C"/>
    <w:rsid w:val="003B0D66"/>
    <w:rsid w:val="003B4FD7"/>
    <w:rsid w:val="003B6CDC"/>
    <w:rsid w:val="003C29E5"/>
    <w:rsid w:val="003C2A37"/>
    <w:rsid w:val="003C2B0C"/>
    <w:rsid w:val="003C39DA"/>
    <w:rsid w:val="003C3AF8"/>
    <w:rsid w:val="003C3C0A"/>
    <w:rsid w:val="003C3F51"/>
    <w:rsid w:val="003C74B2"/>
    <w:rsid w:val="003D0A5D"/>
    <w:rsid w:val="003D2BAE"/>
    <w:rsid w:val="003D4AF9"/>
    <w:rsid w:val="003D6FA2"/>
    <w:rsid w:val="003E10AB"/>
    <w:rsid w:val="003E2AC2"/>
    <w:rsid w:val="003E30C3"/>
    <w:rsid w:val="003E3D08"/>
    <w:rsid w:val="003E43A0"/>
    <w:rsid w:val="003E4414"/>
    <w:rsid w:val="003E5927"/>
    <w:rsid w:val="003E5FCF"/>
    <w:rsid w:val="003E604E"/>
    <w:rsid w:val="003F10A5"/>
    <w:rsid w:val="003F5841"/>
    <w:rsid w:val="00402D43"/>
    <w:rsid w:val="00403FAA"/>
    <w:rsid w:val="00404F92"/>
    <w:rsid w:val="0040528A"/>
    <w:rsid w:val="00405868"/>
    <w:rsid w:val="00406648"/>
    <w:rsid w:val="00406869"/>
    <w:rsid w:val="004112F9"/>
    <w:rsid w:val="00411F9B"/>
    <w:rsid w:val="00417353"/>
    <w:rsid w:val="00417CD2"/>
    <w:rsid w:val="0042389A"/>
    <w:rsid w:val="00432618"/>
    <w:rsid w:val="00432F42"/>
    <w:rsid w:val="00433CE5"/>
    <w:rsid w:val="004350C5"/>
    <w:rsid w:val="0043649F"/>
    <w:rsid w:val="00441C84"/>
    <w:rsid w:val="00444DF4"/>
    <w:rsid w:val="00445B2E"/>
    <w:rsid w:val="00451F47"/>
    <w:rsid w:val="00452E86"/>
    <w:rsid w:val="00455E15"/>
    <w:rsid w:val="00456284"/>
    <w:rsid w:val="0046035B"/>
    <w:rsid w:val="004635C2"/>
    <w:rsid w:val="00470B80"/>
    <w:rsid w:val="004729AB"/>
    <w:rsid w:val="00474B3A"/>
    <w:rsid w:val="004812E3"/>
    <w:rsid w:val="004831DB"/>
    <w:rsid w:val="00490FD6"/>
    <w:rsid w:val="00491E10"/>
    <w:rsid w:val="00491FD6"/>
    <w:rsid w:val="004922FE"/>
    <w:rsid w:val="00493AF9"/>
    <w:rsid w:val="00494201"/>
    <w:rsid w:val="004A1E2A"/>
    <w:rsid w:val="004A1F87"/>
    <w:rsid w:val="004A5E17"/>
    <w:rsid w:val="004A6F42"/>
    <w:rsid w:val="004B0A1C"/>
    <w:rsid w:val="004B3EEE"/>
    <w:rsid w:val="004B3FC6"/>
    <w:rsid w:val="004B5930"/>
    <w:rsid w:val="004B5984"/>
    <w:rsid w:val="004B7F5C"/>
    <w:rsid w:val="004C07EA"/>
    <w:rsid w:val="004C1802"/>
    <w:rsid w:val="004C1B65"/>
    <w:rsid w:val="004C3701"/>
    <w:rsid w:val="004C3873"/>
    <w:rsid w:val="004C7699"/>
    <w:rsid w:val="004C78FC"/>
    <w:rsid w:val="004C7EDB"/>
    <w:rsid w:val="004D3BDF"/>
    <w:rsid w:val="004D3D61"/>
    <w:rsid w:val="004D7123"/>
    <w:rsid w:val="004E1056"/>
    <w:rsid w:val="004E21D9"/>
    <w:rsid w:val="004E69E6"/>
    <w:rsid w:val="004F1BA5"/>
    <w:rsid w:val="004F253C"/>
    <w:rsid w:val="004F32FF"/>
    <w:rsid w:val="004F3D83"/>
    <w:rsid w:val="004F65A9"/>
    <w:rsid w:val="004F741C"/>
    <w:rsid w:val="005044C3"/>
    <w:rsid w:val="00517B69"/>
    <w:rsid w:val="00520034"/>
    <w:rsid w:val="005205AF"/>
    <w:rsid w:val="005207C8"/>
    <w:rsid w:val="00521320"/>
    <w:rsid w:val="00521865"/>
    <w:rsid w:val="00522F39"/>
    <w:rsid w:val="005243C8"/>
    <w:rsid w:val="00526508"/>
    <w:rsid w:val="00530831"/>
    <w:rsid w:val="00533363"/>
    <w:rsid w:val="0053646D"/>
    <w:rsid w:val="00540205"/>
    <w:rsid w:val="00540A03"/>
    <w:rsid w:val="00544ED6"/>
    <w:rsid w:val="00550E29"/>
    <w:rsid w:val="00552759"/>
    <w:rsid w:val="00553819"/>
    <w:rsid w:val="00553F31"/>
    <w:rsid w:val="00555A53"/>
    <w:rsid w:val="0055735F"/>
    <w:rsid w:val="0055756F"/>
    <w:rsid w:val="00557852"/>
    <w:rsid w:val="005609A0"/>
    <w:rsid w:val="00572589"/>
    <w:rsid w:val="00573603"/>
    <w:rsid w:val="00580A5A"/>
    <w:rsid w:val="00583193"/>
    <w:rsid w:val="00584076"/>
    <w:rsid w:val="0058582C"/>
    <w:rsid w:val="00585DBB"/>
    <w:rsid w:val="00587FC5"/>
    <w:rsid w:val="00590631"/>
    <w:rsid w:val="00591260"/>
    <w:rsid w:val="00591B58"/>
    <w:rsid w:val="00592F1A"/>
    <w:rsid w:val="005931E4"/>
    <w:rsid w:val="005934F6"/>
    <w:rsid w:val="00594C5E"/>
    <w:rsid w:val="00596593"/>
    <w:rsid w:val="005A1154"/>
    <w:rsid w:val="005A21EF"/>
    <w:rsid w:val="005A512A"/>
    <w:rsid w:val="005B384E"/>
    <w:rsid w:val="005B41B5"/>
    <w:rsid w:val="005B66CA"/>
    <w:rsid w:val="005C2D08"/>
    <w:rsid w:val="005C5A27"/>
    <w:rsid w:val="005C5DB6"/>
    <w:rsid w:val="005C68B6"/>
    <w:rsid w:val="005C70E5"/>
    <w:rsid w:val="005D191B"/>
    <w:rsid w:val="005D2462"/>
    <w:rsid w:val="005D3BB5"/>
    <w:rsid w:val="005D5C77"/>
    <w:rsid w:val="005E1398"/>
    <w:rsid w:val="005E2A75"/>
    <w:rsid w:val="005E3192"/>
    <w:rsid w:val="005E3332"/>
    <w:rsid w:val="005E3B9C"/>
    <w:rsid w:val="005E5AC2"/>
    <w:rsid w:val="005E7546"/>
    <w:rsid w:val="005F0C49"/>
    <w:rsid w:val="005F0FC3"/>
    <w:rsid w:val="005F20BA"/>
    <w:rsid w:val="005F2345"/>
    <w:rsid w:val="005F2805"/>
    <w:rsid w:val="0060312C"/>
    <w:rsid w:val="00603136"/>
    <w:rsid w:val="00603522"/>
    <w:rsid w:val="00603A0C"/>
    <w:rsid w:val="00607513"/>
    <w:rsid w:val="00614C8C"/>
    <w:rsid w:val="006154B6"/>
    <w:rsid w:val="00621BC3"/>
    <w:rsid w:val="00624ED7"/>
    <w:rsid w:val="00625CF9"/>
    <w:rsid w:val="0062631D"/>
    <w:rsid w:val="006271FC"/>
    <w:rsid w:val="006364D1"/>
    <w:rsid w:val="00641AF0"/>
    <w:rsid w:val="00642C80"/>
    <w:rsid w:val="006445CE"/>
    <w:rsid w:val="006456C9"/>
    <w:rsid w:val="00645A2F"/>
    <w:rsid w:val="00645E68"/>
    <w:rsid w:val="00651616"/>
    <w:rsid w:val="006558A3"/>
    <w:rsid w:val="0065661B"/>
    <w:rsid w:val="00656BD7"/>
    <w:rsid w:val="00662ECB"/>
    <w:rsid w:val="0066487B"/>
    <w:rsid w:val="00665364"/>
    <w:rsid w:val="006653C5"/>
    <w:rsid w:val="0066654D"/>
    <w:rsid w:val="006712EB"/>
    <w:rsid w:val="00672A53"/>
    <w:rsid w:val="006762FC"/>
    <w:rsid w:val="0067701A"/>
    <w:rsid w:val="00677152"/>
    <w:rsid w:val="00677867"/>
    <w:rsid w:val="00680750"/>
    <w:rsid w:val="006831F3"/>
    <w:rsid w:val="00684B74"/>
    <w:rsid w:val="00685799"/>
    <w:rsid w:val="00690788"/>
    <w:rsid w:val="00695163"/>
    <w:rsid w:val="0069767E"/>
    <w:rsid w:val="006A2596"/>
    <w:rsid w:val="006A4C07"/>
    <w:rsid w:val="006A64C2"/>
    <w:rsid w:val="006B04E3"/>
    <w:rsid w:val="006B0EBC"/>
    <w:rsid w:val="006B20B4"/>
    <w:rsid w:val="006B212F"/>
    <w:rsid w:val="006B5931"/>
    <w:rsid w:val="006B683A"/>
    <w:rsid w:val="006C18B8"/>
    <w:rsid w:val="006C1DDB"/>
    <w:rsid w:val="006C5BC6"/>
    <w:rsid w:val="006C67B6"/>
    <w:rsid w:val="006D1FE0"/>
    <w:rsid w:val="006D381F"/>
    <w:rsid w:val="006D3A6A"/>
    <w:rsid w:val="006D3ECF"/>
    <w:rsid w:val="006D4AC3"/>
    <w:rsid w:val="006D552B"/>
    <w:rsid w:val="006D7AAE"/>
    <w:rsid w:val="006D7EA5"/>
    <w:rsid w:val="006E19E6"/>
    <w:rsid w:val="006E2CE5"/>
    <w:rsid w:val="006E3ACF"/>
    <w:rsid w:val="006E76A2"/>
    <w:rsid w:val="006F7DAB"/>
    <w:rsid w:val="007003A5"/>
    <w:rsid w:val="00700DE4"/>
    <w:rsid w:val="00701943"/>
    <w:rsid w:val="007025F5"/>
    <w:rsid w:val="00702FC5"/>
    <w:rsid w:val="007035E9"/>
    <w:rsid w:val="00710367"/>
    <w:rsid w:val="0071253C"/>
    <w:rsid w:val="00714C6C"/>
    <w:rsid w:val="00715454"/>
    <w:rsid w:val="00715D3F"/>
    <w:rsid w:val="00715EC2"/>
    <w:rsid w:val="00716FDA"/>
    <w:rsid w:val="007253C3"/>
    <w:rsid w:val="0072621D"/>
    <w:rsid w:val="00726B2B"/>
    <w:rsid w:val="0072759F"/>
    <w:rsid w:val="00736786"/>
    <w:rsid w:val="007367E2"/>
    <w:rsid w:val="00744A28"/>
    <w:rsid w:val="00754A94"/>
    <w:rsid w:val="0075666E"/>
    <w:rsid w:val="007576C0"/>
    <w:rsid w:val="00760AC6"/>
    <w:rsid w:val="00762453"/>
    <w:rsid w:val="0076459C"/>
    <w:rsid w:val="00765AEC"/>
    <w:rsid w:val="007716C0"/>
    <w:rsid w:val="0077491B"/>
    <w:rsid w:val="0077732D"/>
    <w:rsid w:val="00777995"/>
    <w:rsid w:val="00777E85"/>
    <w:rsid w:val="0078144C"/>
    <w:rsid w:val="0078589D"/>
    <w:rsid w:val="00787A5F"/>
    <w:rsid w:val="0079483A"/>
    <w:rsid w:val="007A14EF"/>
    <w:rsid w:val="007A4413"/>
    <w:rsid w:val="007A4DB2"/>
    <w:rsid w:val="007B0FCB"/>
    <w:rsid w:val="007B1043"/>
    <w:rsid w:val="007B10A0"/>
    <w:rsid w:val="007B23B8"/>
    <w:rsid w:val="007B3A47"/>
    <w:rsid w:val="007B3CAD"/>
    <w:rsid w:val="007B4F15"/>
    <w:rsid w:val="007C0AB1"/>
    <w:rsid w:val="007C36CE"/>
    <w:rsid w:val="007C4099"/>
    <w:rsid w:val="007C5167"/>
    <w:rsid w:val="007C75D7"/>
    <w:rsid w:val="007D03D3"/>
    <w:rsid w:val="007D207E"/>
    <w:rsid w:val="007D4994"/>
    <w:rsid w:val="007D4D0B"/>
    <w:rsid w:val="007D6518"/>
    <w:rsid w:val="007D6DB0"/>
    <w:rsid w:val="007E747C"/>
    <w:rsid w:val="007E7927"/>
    <w:rsid w:val="007F0AF1"/>
    <w:rsid w:val="007F232B"/>
    <w:rsid w:val="00801E47"/>
    <w:rsid w:val="008034E3"/>
    <w:rsid w:val="00803A65"/>
    <w:rsid w:val="00807CF9"/>
    <w:rsid w:val="00811A72"/>
    <w:rsid w:val="00811C23"/>
    <w:rsid w:val="00812002"/>
    <w:rsid w:val="00813A1B"/>
    <w:rsid w:val="008209F5"/>
    <w:rsid w:val="00820A8A"/>
    <w:rsid w:val="00821A12"/>
    <w:rsid w:val="00821C35"/>
    <w:rsid w:val="00822105"/>
    <w:rsid w:val="00824113"/>
    <w:rsid w:val="00824351"/>
    <w:rsid w:val="00827AF6"/>
    <w:rsid w:val="00832C57"/>
    <w:rsid w:val="00842FE0"/>
    <w:rsid w:val="00844127"/>
    <w:rsid w:val="00845F6C"/>
    <w:rsid w:val="00851BB5"/>
    <w:rsid w:val="008526BF"/>
    <w:rsid w:val="0085412B"/>
    <w:rsid w:val="008544DF"/>
    <w:rsid w:val="00862D76"/>
    <w:rsid w:val="00870757"/>
    <w:rsid w:val="00870A82"/>
    <w:rsid w:val="00870C4F"/>
    <w:rsid w:val="00870FFF"/>
    <w:rsid w:val="00871321"/>
    <w:rsid w:val="0087414D"/>
    <w:rsid w:val="0087558A"/>
    <w:rsid w:val="0088127C"/>
    <w:rsid w:val="0088273A"/>
    <w:rsid w:val="00884196"/>
    <w:rsid w:val="0088788C"/>
    <w:rsid w:val="00887F83"/>
    <w:rsid w:val="008901D0"/>
    <w:rsid w:val="0089200B"/>
    <w:rsid w:val="00896470"/>
    <w:rsid w:val="008979C4"/>
    <w:rsid w:val="008A0257"/>
    <w:rsid w:val="008A1761"/>
    <w:rsid w:val="008A44A7"/>
    <w:rsid w:val="008A6BE7"/>
    <w:rsid w:val="008A6DFC"/>
    <w:rsid w:val="008A7A3C"/>
    <w:rsid w:val="008B2C42"/>
    <w:rsid w:val="008B77A2"/>
    <w:rsid w:val="008C1747"/>
    <w:rsid w:val="008C2099"/>
    <w:rsid w:val="008C2197"/>
    <w:rsid w:val="008C6A7A"/>
    <w:rsid w:val="008C6CC8"/>
    <w:rsid w:val="008C7ADB"/>
    <w:rsid w:val="008D01C9"/>
    <w:rsid w:val="008D1589"/>
    <w:rsid w:val="008D1B1C"/>
    <w:rsid w:val="008D232A"/>
    <w:rsid w:val="008D39C0"/>
    <w:rsid w:val="008D5D59"/>
    <w:rsid w:val="008D6ACA"/>
    <w:rsid w:val="008E1195"/>
    <w:rsid w:val="008E1DD0"/>
    <w:rsid w:val="008E2B6A"/>
    <w:rsid w:val="008E3280"/>
    <w:rsid w:val="008E55B8"/>
    <w:rsid w:val="008E6D92"/>
    <w:rsid w:val="008E7044"/>
    <w:rsid w:val="008E73EB"/>
    <w:rsid w:val="008E7CCC"/>
    <w:rsid w:val="008F0743"/>
    <w:rsid w:val="008F08E3"/>
    <w:rsid w:val="008F4172"/>
    <w:rsid w:val="008F48D1"/>
    <w:rsid w:val="008F7379"/>
    <w:rsid w:val="0090056F"/>
    <w:rsid w:val="00906CF9"/>
    <w:rsid w:val="009079AC"/>
    <w:rsid w:val="00913D3F"/>
    <w:rsid w:val="009217A8"/>
    <w:rsid w:val="0092383A"/>
    <w:rsid w:val="00923AA2"/>
    <w:rsid w:val="009277C2"/>
    <w:rsid w:val="0093296B"/>
    <w:rsid w:val="00933231"/>
    <w:rsid w:val="00944635"/>
    <w:rsid w:val="009460C8"/>
    <w:rsid w:val="009528C1"/>
    <w:rsid w:val="009537BF"/>
    <w:rsid w:val="00954C31"/>
    <w:rsid w:val="00955A7A"/>
    <w:rsid w:val="00957CCD"/>
    <w:rsid w:val="00966D21"/>
    <w:rsid w:val="009678F0"/>
    <w:rsid w:val="00970250"/>
    <w:rsid w:val="00975214"/>
    <w:rsid w:val="0098045C"/>
    <w:rsid w:val="00981CA1"/>
    <w:rsid w:val="00983A72"/>
    <w:rsid w:val="009842FA"/>
    <w:rsid w:val="00984A24"/>
    <w:rsid w:val="009870C8"/>
    <w:rsid w:val="0099487F"/>
    <w:rsid w:val="009A086C"/>
    <w:rsid w:val="009A13C5"/>
    <w:rsid w:val="009A16BB"/>
    <w:rsid w:val="009A4C70"/>
    <w:rsid w:val="009A5462"/>
    <w:rsid w:val="009A55AC"/>
    <w:rsid w:val="009A75A4"/>
    <w:rsid w:val="009A77C9"/>
    <w:rsid w:val="009B31CF"/>
    <w:rsid w:val="009B6167"/>
    <w:rsid w:val="009B6632"/>
    <w:rsid w:val="009B6ADC"/>
    <w:rsid w:val="009B76BF"/>
    <w:rsid w:val="009C1A8D"/>
    <w:rsid w:val="009C24EB"/>
    <w:rsid w:val="009C2D36"/>
    <w:rsid w:val="009C3A1A"/>
    <w:rsid w:val="009D38CA"/>
    <w:rsid w:val="009D4B2B"/>
    <w:rsid w:val="009E0BFE"/>
    <w:rsid w:val="009E1E7F"/>
    <w:rsid w:val="009E5099"/>
    <w:rsid w:val="009F181A"/>
    <w:rsid w:val="009F273A"/>
    <w:rsid w:val="009F611B"/>
    <w:rsid w:val="00A00FC1"/>
    <w:rsid w:val="00A0221F"/>
    <w:rsid w:val="00A040EC"/>
    <w:rsid w:val="00A05EE3"/>
    <w:rsid w:val="00A101DB"/>
    <w:rsid w:val="00A12242"/>
    <w:rsid w:val="00A1279A"/>
    <w:rsid w:val="00A12A3C"/>
    <w:rsid w:val="00A12F08"/>
    <w:rsid w:val="00A138A3"/>
    <w:rsid w:val="00A149A9"/>
    <w:rsid w:val="00A1520D"/>
    <w:rsid w:val="00A1551D"/>
    <w:rsid w:val="00A15B0D"/>
    <w:rsid w:val="00A17D98"/>
    <w:rsid w:val="00A261CA"/>
    <w:rsid w:val="00A26243"/>
    <w:rsid w:val="00A26FC4"/>
    <w:rsid w:val="00A313D9"/>
    <w:rsid w:val="00A330DF"/>
    <w:rsid w:val="00A34E61"/>
    <w:rsid w:val="00A36C49"/>
    <w:rsid w:val="00A40177"/>
    <w:rsid w:val="00A41B1D"/>
    <w:rsid w:val="00A441EE"/>
    <w:rsid w:val="00A46F03"/>
    <w:rsid w:val="00A50C9C"/>
    <w:rsid w:val="00A5176D"/>
    <w:rsid w:val="00A522F0"/>
    <w:rsid w:val="00A52510"/>
    <w:rsid w:val="00A53AD3"/>
    <w:rsid w:val="00A5686E"/>
    <w:rsid w:val="00A62197"/>
    <w:rsid w:val="00A64923"/>
    <w:rsid w:val="00A6628C"/>
    <w:rsid w:val="00A72C79"/>
    <w:rsid w:val="00A72F3B"/>
    <w:rsid w:val="00A75A4C"/>
    <w:rsid w:val="00A769CD"/>
    <w:rsid w:val="00A82424"/>
    <w:rsid w:val="00A8397E"/>
    <w:rsid w:val="00A846A1"/>
    <w:rsid w:val="00A9059F"/>
    <w:rsid w:val="00A906D9"/>
    <w:rsid w:val="00A9272E"/>
    <w:rsid w:val="00A92A53"/>
    <w:rsid w:val="00A9309E"/>
    <w:rsid w:val="00A94AF3"/>
    <w:rsid w:val="00A97C14"/>
    <w:rsid w:val="00AA097F"/>
    <w:rsid w:val="00AA10BB"/>
    <w:rsid w:val="00AA11D5"/>
    <w:rsid w:val="00AA2B8E"/>
    <w:rsid w:val="00AB0688"/>
    <w:rsid w:val="00AB2D72"/>
    <w:rsid w:val="00AB36CB"/>
    <w:rsid w:val="00AB5749"/>
    <w:rsid w:val="00AC1200"/>
    <w:rsid w:val="00AC152E"/>
    <w:rsid w:val="00AC3028"/>
    <w:rsid w:val="00AC42B9"/>
    <w:rsid w:val="00AC458E"/>
    <w:rsid w:val="00AC4FC2"/>
    <w:rsid w:val="00AC500D"/>
    <w:rsid w:val="00AC6C54"/>
    <w:rsid w:val="00AC7DF3"/>
    <w:rsid w:val="00AD217F"/>
    <w:rsid w:val="00AD232A"/>
    <w:rsid w:val="00AD2610"/>
    <w:rsid w:val="00AD3E3C"/>
    <w:rsid w:val="00AD6254"/>
    <w:rsid w:val="00AD6B76"/>
    <w:rsid w:val="00AE2E00"/>
    <w:rsid w:val="00AE4565"/>
    <w:rsid w:val="00AE4FCB"/>
    <w:rsid w:val="00AE50DA"/>
    <w:rsid w:val="00AE537A"/>
    <w:rsid w:val="00AE576C"/>
    <w:rsid w:val="00AE75CD"/>
    <w:rsid w:val="00AF0CDF"/>
    <w:rsid w:val="00AF0D72"/>
    <w:rsid w:val="00AF1D86"/>
    <w:rsid w:val="00AF29FE"/>
    <w:rsid w:val="00AF4959"/>
    <w:rsid w:val="00AF7C41"/>
    <w:rsid w:val="00AF7DA1"/>
    <w:rsid w:val="00B02D3E"/>
    <w:rsid w:val="00B03285"/>
    <w:rsid w:val="00B04141"/>
    <w:rsid w:val="00B11072"/>
    <w:rsid w:val="00B148F8"/>
    <w:rsid w:val="00B1510D"/>
    <w:rsid w:val="00B172A5"/>
    <w:rsid w:val="00B200FF"/>
    <w:rsid w:val="00B22753"/>
    <w:rsid w:val="00B23B71"/>
    <w:rsid w:val="00B2473B"/>
    <w:rsid w:val="00B26965"/>
    <w:rsid w:val="00B275F6"/>
    <w:rsid w:val="00B3008E"/>
    <w:rsid w:val="00B324B7"/>
    <w:rsid w:val="00B327D6"/>
    <w:rsid w:val="00B34402"/>
    <w:rsid w:val="00B3459F"/>
    <w:rsid w:val="00B3464C"/>
    <w:rsid w:val="00B34DFB"/>
    <w:rsid w:val="00B36961"/>
    <w:rsid w:val="00B43B89"/>
    <w:rsid w:val="00B43FF2"/>
    <w:rsid w:val="00B452DB"/>
    <w:rsid w:val="00B452E0"/>
    <w:rsid w:val="00B50587"/>
    <w:rsid w:val="00B51795"/>
    <w:rsid w:val="00B55DEF"/>
    <w:rsid w:val="00B56947"/>
    <w:rsid w:val="00B57D5A"/>
    <w:rsid w:val="00B60039"/>
    <w:rsid w:val="00B6031A"/>
    <w:rsid w:val="00B63209"/>
    <w:rsid w:val="00B65632"/>
    <w:rsid w:val="00B73003"/>
    <w:rsid w:val="00B73ED1"/>
    <w:rsid w:val="00B80EA3"/>
    <w:rsid w:val="00B825C0"/>
    <w:rsid w:val="00B83FCD"/>
    <w:rsid w:val="00B84173"/>
    <w:rsid w:val="00B84C8A"/>
    <w:rsid w:val="00B94B42"/>
    <w:rsid w:val="00B96058"/>
    <w:rsid w:val="00BA04A0"/>
    <w:rsid w:val="00BA28F8"/>
    <w:rsid w:val="00BA2C13"/>
    <w:rsid w:val="00BA328E"/>
    <w:rsid w:val="00BA3741"/>
    <w:rsid w:val="00BA381A"/>
    <w:rsid w:val="00BA3CC3"/>
    <w:rsid w:val="00BA71E8"/>
    <w:rsid w:val="00BB2F23"/>
    <w:rsid w:val="00BB41D2"/>
    <w:rsid w:val="00BB5750"/>
    <w:rsid w:val="00BB6149"/>
    <w:rsid w:val="00BB7C56"/>
    <w:rsid w:val="00BC2F4A"/>
    <w:rsid w:val="00BC33C8"/>
    <w:rsid w:val="00BC3E3F"/>
    <w:rsid w:val="00BC4080"/>
    <w:rsid w:val="00BC554E"/>
    <w:rsid w:val="00BC59D3"/>
    <w:rsid w:val="00BC67F4"/>
    <w:rsid w:val="00BC6D9F"/>
    <w:rsid w:val="00BC6DBA"/>
    <w:rsid w:val="00BD4464"/>
    <w:rsid w:val="00BD5923"/>
    <w:rsid w:val="00BD6CEF"/>
    <w:rsid w:val="00BD7996"/>
    <w:rsid w:val="00BE13D5"/>
    <w:rsid w:val="00BE2DED"/>
    <w:rsid w:val="00BE4A21"/>
    <w:rsid w:val="00BE5049"/>
    <w:rsid w:val="00BE509C"/>
    <w:rsid w:val="00BE6739"/>
    <w:rsid w:val="00BE736E"/>
    <w:rsid w:val="00BF0758"/>
    <w:rsid w:val="00BF3A7F"/>
    <w:rsid w:val="00C00BFB"/>
    <w:rsid w:val="00C020D3"/>
    <w:rsid w:val="00C107BA"/>
    <w:rsid w:val="00C122AF"/>
    <w:rsid w:val="00C12B09"/>
    <w:rsid w:val="00C13E91"/>
    <w:rsid w:val="00C169E7"/>
    <w:rsid w:val="00C17060"/>
    <w:rsid w:val="00C17F0D"/>
    <w:rsid w:val="00C208E1"/>
    <w:rsid w:val="00C222C9"/>
    <w:rsid w:val="00C227E0"/>
    <w:rsid w:val="00C22A90"/>
    <w:rsid w:val="00C23FDF"/>
    <w:rsid w:val="00C31606"/>
    <w:rsid w:val="00C33682"/>
    <w:rsid w:val="00C340BE"/>
    <w:rsid w:val="00C34562"/>
    <w:rsid w:val="00C34B50"/>
    <w:rsid w:val="00C35020"/>
    <w:rsid w:val="00C358BE"/>
    <w:rsid w:val="00C3676C"/>
    <w:rsid w:val="00C37656"/>
    <w:rsid w:val="00C4107A"/>
    <w:rsid w:val="00C4296D"/>
    <w:rsid w:val="00C44CB5"/>
    <w:rsid w:val="00C46B25"/>
    <w:rsid w:val="00C46B83"/>
    <w:rsid w:val="00C46FA6"/>
    <w:rsid w:val="00C47690"/>
    <w:rsid w:val="00C55279"/>
    <w:rsid w:val="00C55A62"/>
    <w:rsid w:val="00C56FFC"/>
    <w:rsid w:val="00C623AF"/>
    <w:rsid w:val="00C629D8"/>
    <w:rsid w:val="00C63637"/>
    <w:rsid w:val="00C66B3F"/>
    <w:rsid w:val="00C7073D"/>
    <w:rsid w:val="00C71E14"/>
    <w:rsid w:val="00C827BF"/>
    <w:rsid w:val="00C86C95"/>
    <w:rsid w:val="00C90E3C"/>
    <w:rsid w:val="00C91418"/>
    <w:rsid w:val="00C921F7"/>
    <w:rsid w:val="00C924C0"/>
    <w:rsid w:val="00C94E32"/>
    <w:rsid w:val="00C95049"/>
    <w:rsid w:val="00C96A83"/>
    <w:rsid w:val="00C977A2"/>
    <w:rsid w:val="00CA2793"/>
    <w:rsid w:val="00CA2970"/>
    <w:rsid w:val="00CA4BB5"/>
    <w:rsid w:val="00CB0816"/>
    <w:rsid w:val="00CB283B"/>
    <w:rsid w:val="00CB37A6"/>
    <w:rsid w:val="00CB3BD2"/>
    <w:rsid w:val="00CB46D1"/>
    <w:rsid w:val="00CC028F"/>
    <w:rsid w:val="00CC41A6"/>
    <w:rsid w:val="00CC6A7F"/>
    <w:rsid w:val="00CC6A88"/>
    <w:rsid w:val="00CD0601"/>
    <w:rsid w:val="00CD4000"/>
    <w:rsid w:val="00CD55BA"/>
    <w:rsid w:val="00CD560F"/>
    <w:rsid w:val="00CD583F"/>
    <w:rsid w:val="00CD5C5C"/>
    <w:rsid w:val="00CD7EC4"/>
    <w:rsid w:val="00CE01B2"/>
    <w:rsid w:val="00CE10EA"/>
    <w:rsid w:val="00CE4850"/>
    <w:rsid w:val="00CE50BA"/>
    <w:rsid w:val="00CE57E1"/>
    <w:rsid w:val="00CE593A"/>
    <w:rsid w:val="00CF1223"/>
    <w:rsid w:val="00CF2B94"/>
    <w:rsid w:val="00CF3940"/>
    <w:rsid w:val="00CF74D0"/>
    <w:rsid w:val="00D01814"/>
    <w:rsid w:val="00D03DA6"/>
    <w:rsid w:val="00D045B7"/>
    <w:rsid w:val="00D0600D"/>
    <w:rsid w:val="00D10789"/>
    <w:rsid w:val="00D11870"/>
    <w:rsid w:val="00D1209B"/>
    <w:rsid w:val="00D1326C"/>
    <w:rsid w:val="00D16D61"/>
    <w:rsid w:val="00D16FE5"/>
    <w:rsid w:val="00D1761A"/>
    <w:rsid w:val="00D202F7"/>
    <w:rsid w:val="00D20A0D"/>
    <w:rsid w:val="00D21320"/>
    <w:rsid w:val="00D21DA9"/>
    <w:rsid w:val="00D23033"/>
    <w:rsid w:val="00D24510"/>
    <w:rsid w:val="00D24614"/>
    <w:rsid w:val="00D30715"/>
    <w:rsid w:val="00D33DE9"/>
    <w:rsid w:val="00D352BC"/>
    <w:rsid w:val="00D359E1"/>
    <w:rsid w:val="00D41148"/>
    <w:rsid w:val="00D44F72"/>
    <w:rsid w:val="00D4580B"/>
    <w:rsid w:val="00D47355"/>
    <w:rsid w:val="00D53F5D"/>
    <w:rsid w:val="00D547A7"/>
    <w:rsid w:val="00D56D76"/>
    <w:rsid w:val="00D6015F"/>
    <w:rsid w:val="00D627F0"/>
    <w:rsid w:val="00D634D8"/>
    <w:rsid w:val="00D644BD"/>
    <w:rsid w:val="00D70DF7"/>
    <w:rsid w:val="00D713C2"/>
    <w:rsid w:val="00D716CA"/>
    <w:rsid w:val="00D72484"/>
    <w:rsid w:val="00D7506A"/>
    <w:rsid w:val="00D76006"/>
    <w:rsid w:val="00D76D1D"/>
    <w:rsid w:val="00D8040F"/>
    <w:rsid w:val="00D81797"/>
    <w:rsid w:val="00D81EB8"/>
    <w:rsid w:val="00D835E0"/>
    <w:rsid w:val="00D90C3E"/>
    <w:rsid w:val="00D935E6"/>
    <w:rsid w:val="00D95B86"/>
    <w:rsid w:val="00D960C7"/>
    <w:rsid w:val="00DA079B"/>
    <w:rsid w:val="00DA0916"/>
    <w:rsid w:val="00DA65D9"/>
    <w:rsid w:val="00DB0E58"/>
    <w:rsid w:val="00DB584C"/>
    <w:rsid w:val="00DB6165"/>
    <w:rsid w:val="00DB7E4A"/>
    <w:rsid w:val="00DC05F8"/>
    <w:rsid w:val="00DC343C"/>
    <w:rsid w:val="00DC3D2F"/>
    <w:rsid w:val="00DC49C9"/>
    <w:rsid w:val="00DC548F"/>
    <w:rsid w:val="00DC7758"/>
    <w:rsid w:val="00DD2A34"/>
    <w:rsid w:val="00DD2F1E"/>
    <w:rsid w:val="00DD377F"/>
    <w:rsid w:val="00DD44D0"/>
    <w:rsid w:val="00DD4AE1"/>
    <w:rsid w:val="00DE0299"/>
    <w:rsid w:val="00DE4BDD"/>
    <w:rsid w:val="00DE4F05"/>
    <w:rsid w:val="00DF0DDE"/>
    <w:rsid w:val="00DF4484"/>
    <w:rsid w:val="00DF4F77"/>
    <w:rsid w:val="00DF79F1"/>
    <w:rsid w:val="00E02452"/>
    <w:rsid w:val="00E049A0"/>
    <w:rsid w:val="00E074E1"/>
    <w:rsid w:val="00E12893"/>
    <w:rsid w:val="00E13C6A"/>
    <w:rsid w:val="00E14910"/>
    <w:rsid w:val="00E14BAF"/>
    <w:rsid w:val="00E156F9"/>
    <w:rsid w:val="00E16C76"/>
    <w:rsid w:val="00E22053"/>
    <w:rsid w:val="00E22AD3"/>
    <w:rsid w:val="00E23ABB"/>
    <w:rsid w:val="00E23F9A"/>
    <w:rsid w:val="00E24300"/>
    <w:rsid w:val="00E24A85"/>
    <w:rsid w:val="00E26AFC"/>
    <w:rsid w:val="00E26C38"/>
    <w:rsid w:val="00E26CB1"/>
    <w:rsid w:val="00E27DDB"/>
    <w:rsid w:val="00E32F95"/>
    <w:rsid w:val="00E35FC2"/>
    <w:rsid w:val="00E36076"/>
    <w:rsid w:val="00E3647E"/>
    <w:rsid w:val="00E36992"/>
    <w:rsid w:val="00E37E74"/>
    <w:rsid w:val="00E40812"/>
    <w:rsid w:val="00E41FE2"/>
    <w:rsid w:val="00E4236D"/>
    <w:rsid w:val="00E475EB"/>
    <w:rsid w:val="00E47897"/>
    <w:rsid w:val="00E55FCF"/>
    <w:rsid w:val="00E6357A"/>
    <w:rsid w:val="00E64EC6"/>
    <w:rsid w:val="00E65183"/>
    <w:rsid w:val="00E65652"/>
    <w:rsid w:val="00E65901"/>
    <w:rsid w:val="00E660D0"/>
    <w:rsid w:val="00E72824"/>
    <w:rsid w:val="00E80735"/>
    <w:rsid w:val="00E8634A"/>
    <w:rsid w:val="00E874C0"/>
    <w:rsid w:val="00E90F53"/>
    <w:rsid w:val="00E91B5E"/>
    <w:rsid w:val="00E929BB"/>
    <w:rsid w:val="00E952A0"/>
    <w:rsid w:val="00EA31EE"/>
    <w:rsid w:val="00EA3255"/>
    <w:rsid w:val="00EA3A76"/>
    <w:rsid w:val="00EA3F42"/>
    <w:rsid w:val="00EA65CF"/>
    <w:rsid w:val="00EA7514"/>
    <w:rsid w:val="00EA7EF5"/>
    <w:rsid w:val="00EB008F"/>
    <w:rsid w:val="00EB3BB5"/>
    <w:rsid w:val="00EB3FC6"/>
    <w:rsid w:val="00EB49BC"/>
    <w:rsid w:val="00EB5893"/>
    <w:rsid w:val="00EB59CD"/>
    <w:rsid w:val="00EC0495"/>
    <w:rsid w:val="00EC0BDC"/>
    <w:rsid w:val="00EC2647"/>
    <w:rsid w:val="00ED231F"/>
    <w:rsid w:val="00ED2B99"/>
    <w:rsid w:val="00ED2D41"/>
    <w:rsid w:val="00ED3B85"/>
    <w:rsid w:val="00ED3BCD"/>
    <w:rsid w:val="00ED3C0D"/>
    <w:rsid w:val="00ED3F10"/>
    <w:rsid w:val="00ED4B68"/>
    <w:rsid w:val="00ED4D0C"/>
    <w:rsid w:val="00ED4D58"/>
    <w:rsid w:val="00ED65CF"/>
    <w:rsid w:val="00EE052B"/>
    <w:rsid w:val="00EE0988"/>
    <w:rsid w:val="00EE0D20"/>
    <w:rsid w:val="00EE19F6"/>
    <w:rsid w:val="00EE270F"/>
    <w:rsid w:val="00EE4168"/>
    <w:rsid w:val="00EE6279"/>
    <w:rsid w:val="00EE6BED"/>
    <w:rsid w:val="00EF1434"/>
    <w:rsid w:val="00EF1B68"/>
    <w:rsid w:val="00EF2E64"/>
    <w:rsid w:val="00EF356F"/>
    <w:rsid w:val="00EF4A8B"/>
    <w:rsid w:val="00EF4EAB"/>
    <w:rsid w:val="00EF51C5"/>
    <w:rsid w:val="00EF5F2A"/>
    <w:rsid w:val="00EF6FEB"/>
    <w:rsid w:val="00F00CC4"/>
    <w:rsid w:val="00F02EC2"/>
    <w:rsid w:val="00F04DBA"/>
    <w:rsid w:val="00F06C3C"/>
    <w:rsid w:val="00F11173"/>
    <w:rsid w:val="00F12710"/>
    <w:rsid w:val="00F14250"/>
    <w:rsid w:val="00F16B59"/>
    <w:rsid w:val="00F206F3"/>
    <w:rsid w:val="00F22C5A"/>
    <w:rsid w:val="00F23A75"/>
    <w:rsid w:val="00F23B62"/>
    <w:rsid w:val="00F25662"/>
    <w:rsid w:val="00F30479"/>
    <w:rsid w:val="00F341EF"/>
    <w:rsid w:val="00F342E6"/>
    <w:rsid w:val="00F34E9F"/>
    <w:rsid w:val="00F3610B"/>
    <w:rsid w:val="00F370AA"/>
    <w:rsid w:val="00F403BB"/>
    <w:rsid w:val="00F427E1"/>
    <w:rsid w:val="00F42DAD"/>
    <w:rsid w:val="00F44C17"/>
    <w:rsid w:val="00F462ED"/>
    <w:rsid w:val="00F46A02"/>
    <w:rsid w:val="00F47196"/>
    <w:rsid w:val="00F50326"/>
    <w:rsid w:val="00F51098"/>
    <w:rsid w:val="00F54940"/>
    <w:rsid w:val="00F55618"/>
    <w:rsid w:val="00F57410"/>
    <w:rsid w:val="00F623B6"/>
    <w:rsid w:val="00F626E5"/>
    <w:rsid w:val="00F66D8C"/>
    <w:rsid w:val="00F6727D"/>
    <w:rsid w:val="00F70A2B"/>
    <w:rsid w:val="00F729C9"/>
    <w:rsid w:val="00F75170"/>
    <w:rsid w:val="00F7541A"/>
    <w:rsid w:val="00F7637A"/>
    <w:rsid w:val="00F77807"/>
    <w:rsid w:val="00F841F9"/>
    <w:rsid w:val="00F8633D"/>
    <w:rsid w:val="00F86D97"/>
    <w:rsid w:val="00F87102"/>
    <w:rsid w:val="00F871D5"/>
    <w:rsid w:val="00F8747B"/>
    <w:rsid w:val="00F87881"/>
    <w:rsid w:val="00F930BC"/>
    <w:rsid w:val="00F94404"/>
    <w:rsid w:val="00F96530"/>
    <w:rsid w:val="00F96A73"/>
    <w:rsid w:val="00F96A85"/>
    <w:rsid w:val="00F97553"/>
    <w:rsid w:val="00FA1D18"/>
    <w:rsid w:val="00FA2BBD"/>
    <w:rsid w:val="00FA521D"/>
    <w:rsid w:val="00FA6055"/>
    <w:rsid w:val="00FA64DE"/>
    <w:rsid w:val="00FA6EF5"/>
    <w:rsid w:val="00FB21DF"/>
    <w:rsid w:val="00FB2B57"/>
    <w:rsid w:val="00FB405E"/>
    <w:rsid w:val="00FB519C"/>
    <w:rsid w:val="00FB7124"/>
    <w:rsid w:val="00FB76C4"/>
    <w:rsid w:val="00FC2B23"/>
    <w:rsid w:val="00FC30E3"/>
    <w:rsid w:val="00FC31CF"/>
    <w:rsid w:val="00FC3BB3"/>
    <w:rsid w:val="00FC3BDE"/>
    <w:rsid w:val="00FC4F7F"/>
    <w:rsid w:val="00FC727F"/>
    <w:rsid w:val="00FC78E7"/>
    <w:rsid w:val="00FC79D2"/>
    <w:rsid w:val="00FD20C8"/>
    <w:rsid w:val="00FD2128"/>
    <w:rsid w:val="00FD24DA"/>
    <w:rsid w:val="00FD2935"/>
    <w:rsid w:val="00FD5231"/>
    <w:rsid w:val="00FE0252"/>
    <w:rsid w:val="00FE10B1"/>
    <w:rsid w:val="00FE3336"/>
    <w:rsid w:val="00FE3E5C"/>
    <w:rsid w:val="00FE3F11"/>
    <w:rsid w:val="00FE6185"/>
    <w:rsid w:val="00FF051F"/>
    <w:rsid w:val="00FF2B71"/>
    <w:rsid w:val="00FF2FAF"/>
    <w:rsid w:val="00FF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7D15D3B-27F5-4ABD-9CC7-42531371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C80"/>
    <w:rPr>
      <w:rFonts w:ascii="Arial" w:hAnsi="Arial"/>
      <w:sz w:val="24"/>
      <w:szCs w:val="24"/>
      <w:lang w:eastAsia="en-US"/>
    </w:rPr>
  </w:style>
  <w:style w:type="paragraph" w:styleId="Heading1">
    <w:name w:val="heading 1"/>
    <w:basedOn w:val="Normal"/>
    <w:next w:val="Normal"/>
    <w:link w:val="Heading1Char"/>
    <w:autoRedefine/>
    <w:uiPriority w:val="9"/>
    <w:qFormat/>
    <w:rsid w:val="001E4118"/>
    <w:pPr>
      <w:keepNext/>
      <w:tabs>
        <w:tab w:val="num" w:pos="284"/>
      </w:tabs>
      <w:ind w:left="284" w:hanging="284"/>
      <w:outlineLvl w:val="0"/>
    </w:pPr>
    <w:rPr>
      <w:rFonts w:cs="Arial"/>
      <w:b/>
      <w:caps/>
      <w:snapToGrid w:val="0"/>
      <w:sz w:val="32"/>
      <w:szCs w:val="32"/>
      <w:lang w:eastAsia="en-GB"/>
    </w:rPr>
  </w:style>
  <w:style w:type="paragraph" w:styleId="Heading2">
    <w:name w:val="heading 2"/>
    <w:aliases w:val="Major,Reset numbering,Lev 2,Numbered - 2,L2,Outline2"/>
    <w:basedOn w:val="Normal"/>
    <w:next w:val="Normal"/>
    <w:qFormat/>
    <w:rsid w:val="00824113"/>
    <w:pPr>
      <w:keepNext/>
      <w:numPr>
        <w:ilvl w:val="1"/>
        <w:numId w:val="4"/>
      </w:numPr>
      <w:spacing w:after="60"/>
      <w:jc w:val="both"/>
      <w:outlineLvl w:val="1"/>
    </w:pPr>
    <w:rPr>
      <w:b/>
      <w:caps/>
      <w:snapToGrid w:val="0"/>
      <w:color w:val="000000"/>
      <w:szCs w:val="20"/>
      <w:lang w:eastAsia="en-GB"/>
    </w:rPr>
  </w:style>
  <w:style w:type="paragraph" w:styleId="Heading3">
    <w:name w:val="heading 3"/>
    <w:basedOn w:val="Normal"/>
    <w:next w:val="Normal"/>
    <w:uiPriority w:val="9"/>
    <w:qFormat/>
    <w:rsid w:val="00824113"/>
    <w:pPr>
      <w:keepNext/>
      <w:numPr>
        <w:ilvl w:val="2"/>
        <w:numId w:val="4"/>
      </w:numPr>
      <w:tabs>
        <w:tab w:val="left" w:pos="0"/>
      </w:tabs>
      <w:jc w:val="both"/>
      <w:outlineLvl w:val="2"/>
    </w:pPr>
    <w:rPr>
      <w:b/>
      <w:caps/>
      <w:snapToGrid w:val="0"/>
      <w:color w:val="000000"/>
      <w:sz w:val="22"/>
      <w:szCs w:val="20"/>
      <w:lang w:eastAsia="en-GB"/>
    </w:rPr>
  </w:style>
  <w:style w:type="paragraph" w:styleId="Heading4">
    <w:name w:val="heading 4"/>
    <w:basedOn w:val="Normal"/>
    <w:next w:val="Normal"/>
    <w:qFormat/>
    <w:rsid w:val="00824113"/>
    <w:pPr>
      <w:keepNext/>
      <w:numPr>
        <w:ilvl w:val="3"/>
        <w:numId w:val="4"/>
      </w:numPr>
      <w:jc w:val="both"/>
      <w:outlineLvl w:val="3"/>
    </w:pPr>
    <w:rPr>
      <w:sz w:val="40"/>
      <w:szCs w:val="20"/>
      <w:lang w:eastAsia="en-GB"/>
    </w:rPr>
  </w:style>
  <w:style w:type="paragraph" w:styleId="Heading5">
    <w:name w:val="heading 5"/>
    <w:basedOn w:val="Normal"/>
    <w:next w:val="Normal"/>
    <w:qFormat/>
    <w:rsid w:val="00824113"/>
    <w:pPr>
      <w:keepNext/>
      <w:numPr>
        <w:ilvl w:val="4"/>
        <w:numId w:val="4"/>
      </w:numPr>
      <w:tabs>
        <w:tab w:val="left" w:pos="6237"/>
      </w:tabs>
      <w:ind w:right="532"/>
      <w:jc w:val="both"/>
      <w:outlineLvl w:val="4"/>
    </w:pPr>
    <w:rPr>
      <w:b/>
      <w:szCs w:val="20"/>
      <w:lang w:eastAsia="en-GB"/>
    </w:rPr>
  </w:style>
  <w:style w:type="paragraph" w:styleId="Heading6">
    <w:name w:val="heading 6"/>
    <w:basedOn w:val="Normal"/>
    <w:next w:val="Normal"/>
    <w:qFormat/>
    <w:rsid w:val="00824113"/>
    <w:pPr>
      <w:keepNext/>
      <w:numPr>
        <w:ilvl w:val="5"/>
        <w:numId w:val="4"/>
      </w:numPr>
      <w:tabs>
        <w:tab w:val="right" w:pos="0"/>
      </w:tabs>
      <w:jc w:val="both"/>
      <w:outlineLvl w:val="5"/>
    </w:pPr>
    <w:rPr>
      <w:b/>
      <w:i/>
      <w:sz w:val="28"/>
      <w:szCs w:val="20"/>
      <w:lang w:eastAsia="en-GB"/>
    </w:rPr>
  </w:style>
  <w:style w:type="paragraph" w:styleId="Heading7">
    <w:name w:val="heading 7"/>
    <w:basedOn w:val="Normal"/>
    <w:next w:val="Normal"/>
    <w:qFormat/>
    <w:rsid w:val="00824113"/>
    <w:pPr>
      <w:keepNext/>
      <w:numPr>
        <w:ilvl w:val="6"/>
        <w:numId w:val="4"/>
      </w:numPr>
      <w:jc w:val="both"/>
      <w:outlineLvl w:val="6"/>
    </w:pPr>
    <w:rPr>
      <w:b/>
      <w:sz w:val="22"/>
      <w:szCs w:val="20"/>
      <w:lang w:eastAsia="en-GB"/>
    </w:rPr>
  </w:style>
  <w:style w:type="paragraph" w:styleId="Heading8">
    <w:name w:val="heading 8"/>
    <w:basedOn w:val="Normal"/>
    <w:next w:val="Normal"/>
    <w:qFormat/>
    <w:rsid w:val="00824113"/>
    <w:pPr>
      <w:keepNext/>
      <w:numPr>
        <w:ilvl w:val="7"/>
        <w:numId w:val="4"/>
      </w:numPr>
      <w:tabs>
        <w:tab w:val="left" w:pos="8505"/>
      </w:tabs>
      <w:ind w:right="532"/>
      <w:jc w:val="center"/>
      <w:outlineLvl w:val="7"/>
    </w:pPr>
    <w:rPr>
      <w:b/>
      <w:sz w:val="40"/>
      <w:szCs w:val="20"/>
      <w:lang w:eastAsia="en-GB"/>
    </w:rPr>
  </w:style>
  <w:style w:type="paragraph" w:styleId="Heading9">
    <w:name w:val="heading 9"/>
    <w:basedOn w:val="Normal"/>
    <w:next w:val="Normal"/>
    <w:qFormat/>
    <w:rsid w:val="00824113"/>
    <w:pPr>
      <w:keepNext/>
      <w:numPr>
        <w:ilvl w:val="8"/>
        <w:numId w:val="4"/>
      </w:numPr>
      <w:jc w:val="center"/>
      <w:outlineLvl w:val="8"/>
    </w:pPr>
    <w:rPr>
      <w:rFonts w:ascii="Arial Black" w:hAnsi="Arial Black"/>
      <w:b/>
      <w:szCs w:val="20"/>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1Char">
    <w:name w:val="Char Char1 Char"/>
    <w:basedOn w:val="Normal"/>
    <w:rsid w:val="00970250"/>
    <w:pPr>
      <w:spacing w:after="160" w:line="240" w:lineRule="exact"/>
    </w:pPr>
    <w:rPr>
      <w:rFonts w:ascii="Verdana" w:hAnsi="Verdana"/>
      <w:szCs w:val="20"/>
    </w:rPr>
  </w:style>
  <w:style w:type="table" w:styleId="TableGrid">
    <w:name w:val="Table Grid"/>
    <w:basedOn w:val="TableNormal"/>
    <w:rsid w:val="009702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C1200"/>
    <w:pPr>
      <w:tabs>
        <w:tab w:val="center" w:pos="4153"/>
        <w:tab w:val="right" w:pos="8306"/>
      </w:tabs>
    </w:pPr>
  </w:style>
  <w:style w:type="paragraph" w:styleId="Footer">
    <w:name w:val="footer"/>
    <w:basedOn w:val="Normal"/>
    <w:link w:val="FooterChar"/>
    <w:uiPriority w:val="99"/>
    <w:rsid w:val="00AC1200"/>
    <w:pPr>
      <w:tabs>
        <w:tab w:val="center" w:pos="4153"/>
        <w:tab w:val="right" w:pos="8306"/>
      </w:tabs>
    </w:pPr>
    <w:rPr>
      <w:lang w:eastAsia="x-none"/>
    </w:rPr>
  </w:style>
  <w:style w:type="paragraph" w:customStyle="1" w:styleId="ANNEXECLAUSE">
    <w:name w:val="ANNEXE CLAUSE"/>
    <w:basedOn w:val="Normal"/>
    <w:locked/>
    <w:rsid w:val="00E049A0"/>
    <w:pPr>
      <w:numPr>
        <w:numId w:val="17"/>
      </w:numPr>
      <w:tabs>
        <w:tab w:val="left" w:pos="1440"/>
        <w:tab w:val="left" w:pos="2070"/>
        <w:tab w:val="left" w:pos="2419"/>
      </w:tabs>
      <w:spacing w:after="60" w:line="273" w:lineRule="exact"/>
      <w:jc w:val="both"/>
    </w:pPr>
    <w:rPr>
      <w:b/>
      <w:caps/>
      <w:szCs w:val="20"/>
      <w:lang w:eastAsia="en-GB"/>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4729AB"/>
    <w:pPr>
      <w:ind w:left="720"/>
    </w:pPr>
  </w:style>
  <w:style w:type="character" w:styleId="CommentReference">
    <w:name w:val="annotation reference"/>
    <w:rsid w:val="00C4107A"/>
    <w:rPr>
      <w:sz w:val="16"/>
      <w:szCs w:val="16"/>
    </w:rPr>
  </w:style>
  <w:style w:type="paragraph" w:styleId="CommentText">
    <w:name w:val="annotation text"/>
    <w:basedOn w:val="Normal"/>
    <w:link w:val="CommentTextChar"/>
    <w:uiPriority w:val="99"/>
    <w:rsid w:val="00C4107A"/>
    <w:rPr>
      <w:szCs w:val="20"/>
      <w:lang w:eastAsia="x-none"/>
    </w:rPr>
  </w:style>
  <w:style w:type="character" w:customStyle="1" w:styleId="CommentTextChar">
    <w:name w:val="Comment Text Char"/>
    <w:link w:val="CommentText"/>
    <w:uiPriority w:val="99"/>
    <w:rsid w:val="00C4107A"/>
    <w:rPr>
      <w:lang w:val="en-GB"/>
    </w:rPr>
  </w:style>
  <w:style w:type="paragraph" w:styleId="CommentSubject">
    <w:name w:val="annotation subject"/>
    <w:basedOn w:val="CommentText"/>
    <w:next w:val="CommentText"/>
    <w:link w:val="CommentSubjectChar"/>
    <w:rsid w:val="00C4107A"/>
    <w:rPr>
      <w:b/>
      <w:bCs/>
    </w:rPr>
  </w:style>
  <w:style w:type="character" w:customStyle="1" w:styleId="CommentSubjectChar">
    <w:name w:val="Comment Subject Char"/>
    <w:link w:val="CommentSubject"/>
    <w:rsid w:val="00C4107A"/>
    <w:rPr>
      <w:b/>
      <w:bCs/>
      <w:lang w:val="en-GB"/>
    </w:rPr>
  </w:style>
  <w:style w:type="paragraph" w:styleId="BalloonText">
    <w:name w:val="Balloon Text"/>
    <w:basedOn w:val="Normal"/>
    <w:link w:val="BalloonTextChar"/>
    <w:rsid w:val="00C4107A"/>
    <w:rPr>
      <w:rFonts w:ascii="Tahoma" w:hAnsi="Tahoma"/>
      <w:sz w:val="16"/>
      <w:szCs w:val="16"/>
      <w:lang w:eastAsia="x-none"/>
    </w:rPr>
  </w:style>
  <w:style w:type="character" w:customStyle="1" w:styleId="BalloonTextChar">
    <w:name w:val="Balloon Text Char"/>
    <w:link w:val="BalloonText"/>
    <w:rsid w:val="00C4107A"/>
    <w:rPr>
      <w:rFonts w:ascii="Tahoma" w:hAnsi="Tahoma" w:cs="Tahoma"/>
      <w:sz w:val="16"/>
      <w:szCs w:val="16"/>
      <w:lang w:val="en-GB"/>
    </w:rPr>
  </w:style>
  <w:style w:type="character" w:customStyle="1" w:styleId="FooterChar">
    <w:name w:val="Footer Char"/>
    <w:link w:val="Footer"/>
    <w:uiPriority w:val="99"/>
    <w:rsid w:val="00933231"/>
    <w:rPr>
      <w:szCs w:val="24"/>
      <w:lang w:val="en-GB"/>
    </w:rPr>
  </w:style>
  <w:style w:type="paragraph" w:styleId="BodyTextIndent3">
    <w:name w:val="Body Text Indent 3"/>
    <w:basedOn w:val="Normal"/>
    <w:rsid w:val="00327F37"/>
    <w:pPr>
      <w:ind w:left="720" w:hanging="720"/>
    </w:pPr>
    <w:rPr>
      <w:snapToGrid w:val="0"/>
      <w:szCs w:val="20"/>
    </w:rPr>
  </w:style>
  <w:style w:type="paragraph" w:styleId="BodyText2">
    <w:name w:val="Body Text 2"/>
    <w:basedOn w:val="Normal"/>
    <w:link w:val="BodyText2Char"/>
    <w:rsid w:val="007367E2"/>
    <w:rPr>
      <w:b/>
      <w:snapToGrid w:val="0"/>
      <w:szCs w:val="20"/>
      <w:lang w:val="x-none"/>
    </w:rPr>
  </w:style>
  <w:style w:type="character" w:customStyle="1" w:styleId="BodyText2Char">
    <w:name w:val="Body Text 2 Char"/>
    <w:link w:val="BodyText2"/>
    <w:rsid w:val="007367E2"/>
    <w:rPr>
      <w:rFonts w:ascii="Arial" w:hAnsi="Arial"/>
      <w:b/>
      <w:snapToGrid w:val="0"/>
      <w:sz w:val="24"/>
      <w:lang w:eastAsia="en-US"/>
    </w:rPr>
  </w:style>
  <w:style w:type="character" w:styleId="Hyperlink">
    <w:name w:val="Hyperlink"/>
    <w:rsid w:val="00642C80"/>
    <w:rPr>
      <w:color w:val="0563C1"/>
      <w:u w:val="single"/>
    </w:rPr>
  </w:style>
  <w:style w:type="character" w:styleId="FollowedHyperlink">
    <w:name w:val="FollowedHyperlink"/>
    <w:rsid w:val="00642C80"/>
    <w:rPr>
      <w:color w:val="954F72"/>
      <w:u w:val="single"/>
    </w:rPr>
  </w:style>
  <w:style w:type="paragraph" w:styleId="BodyText">
    <w:name w:val="Body Text"/>
    <w:basedOn w:val="Normal"/>
    <w:link w:val="BodyTextChar"/>
    <w:rsid w:val="00BF0758"/>
    <w:pPr>
      <w:spacing w:after="120"/>
    </w:pPr>
  </w:style>
  <w:style w:type="character" w:customStyle="1" w:styleId="BodyTextChar">
    <w:name w:val="Body Text Char"/>
    <w:link w:val="BodyText"/>
    <w:rsid w:val="00BF0758"/>
    <w:rPr>
      <w:rFonts w:ascii="Arial" w:hAnsi="Arial"/>
      <w:sz w:val="24"/>
      <w:szCs w:val="24"/>
      <w:lang w:eastAsia="en-US"/>
    </w:rPr>
  </w:style>
  <w:style w:type="paragraph" w:styleId="List2">
    <w:name w:val="List 2"/>
    <w:basedOn w:val="Normal"/>
    <w:rsid w:val="00BF0758"/>
    <w:pPr>
      <w:ind w:left="566" w:hanging="283"/>
      <w:jc w:val="both"/>
    </w:pPr>
    <w:rPr>
      <w:szCs w:val="20"/>
      <w:lang w:eastAsia="en-GB"/>
    </w:rPr>
  </w:style>
  <w:style w:type="paragraph" w:styleId="BodyTextIndent">
    <w:name w:val="Body Text Indent"/>
    <w:basedOn w:val="Normal"/>
    <w:link w:val="BodyTextIndentChar"/>
    <w:rsid w:val="00BF0758"/>
    <w:pPr>
      <w:spacing w:after="120"/>
      <w:ind w:left="283"/>
    </w:pPr>
  </w:style>
  <w:style w:type="character" w:customStyle="1" w:styleId="BodyTextIndentChar">
    <w:name w:val="Body Text Indent Char"/>
    <w:link w:val="BodyTextIndent"/>
    <w:rsid w:val="00BF0758"/>
    <w:rPr>
      <w:rFonts w:ascii="Arial" w:hAnsi="Arial"/>
      <w:sz w:val="24"/>
      <w:szCs w:val="24"/>
      <w:lang w:eastAsia="en-US"/>
    </w:rPr>
  </w:style>
  <w:style w:type="paragraph" w:styleId="BodyTextFirstIndent2">
    <w:name w:val="Body Text First Indent 2"/>
    <w:basedOn w:val="BodyTextIndent"/>
    <w:link w:val="BodyTextFirstIndent2Char"/>
    <w:rsid w:val="00BF0758"/>
    <w:pPr>
      <w:ind w:firstLine="210"/>
      <w:jc w:val="both"/>
    </w:pPr>
    <w:rPr>
      <w:szCs w:val="20"/>
      <w:lang w:eastAsia="en-GB"/>
    </w:rPr>
  </w:style>
  <w:style w:type="character" w:customStyle="1" w:styleId="BodyTextFirstIndent2Char">
    <w:name w:val="Body Text First Indent 2 Char"/>
    <w:basedOn w:val="BodyTextIndentChar"/>
    <w:link w:val="BodyTextFirstIndent2"/>
    <w:rsid w:val="00BF0758"/>
    <w:rPr>
      <w:rFonts w:ascii="Arial" w:hAnsi="Arial"/>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BF0758"/>
    <w:rPr>
      <w:rFonts w:ascii="Arial" w:hAnsi="Arial"/>
      <w:sz w:val="24"/>
      <w:szCs w:val="24"/>
      <w:lang w:eastAsia="en-US"/>
    </w:rPr>
  </w:style>
  <w:style w:type="paragraph" w:styleId="Revision">
    <w:name w:val="Revision"/>
    <w:hidden/>
    <w:uiPriority w:val="99"/>
    <w:semiHidden/>
    <w:rsid w:val="00672A53"/>
    <w:rPr>
      <w:rFonts w:ascii="Arial" w:hAnsi="Arial"/>
      <w:sz w:val="24"/>
      <w:szCs w:val="24"/>
      <w:lang w:eastAsia="en-US"/>
    </w:rPr>
  </w:style>
  <w:style w:type="character" w:customStyle="1" w:styleId="Heading1Char">
    <w:name w:val="Heading 1 Char"/>
    <w:link w:val="Heading1"/>
    <w:uiPriority w:val="9"/>
    <w:rsid w:val="001E4118"/>
    <w:rPr>
      <w:rFonts w:ascii="Arial" w:hAnsi="Arial" w:cs="Arial"/>
      <w:b/>
      <w:caps/>
      <w:snapToGrid w:val="0"/>
      <w:sz w:val="32"/>
      <w:szCs w:val="32"/>
    </w:rPr>
  </w:style>
  <w:style w:type="paragraph" w:customStyle="1" w:styleId="Heading21">
    <w:name w:val="Heading 21"/>
    <w:basedOn w:val="Normal"/>
    <w:next w:val="Normal"/>
    <w:locked/>
    <w:rsid w:val="001E4118"/>
    <w:pPr>
      <w:tabs>
        <w:tab w:val="left" w:pos="0"/>
        <w:tab w:val="num" w:pos="284"/>
      </w:tabs>
      <w:spacing w:before="120" w:after="120"/>
      <w:ind w:left="284" w:hanging="284"/>
      <w:jc w:val="both"/>
    </w:pPr>
    <w:rPr>
      <w:b/>
      <w:bCs/>
      <w:caps/>
      <w:lang w:eastAsia="en-GB"/>
    </w:rPr>
  </w:style>
  <w:style w:type="paragraph" w:customStyle="1" w:styleId="Heading22">
    <w:name w:val="Heading 22"/>
    <w:basedOn w:val="Normal"/>
    <w:next w:val="Normal"/>
    <w:locked/>
    <w:rsid w:val="001E4118"/>
    <w:pPr>
      <w:tabs>
        <w:tab w:val="left" w:pos="0"/>
        <w:tab w:val="num" w:pos="284"/>
      </w:tabs>
      <w:spacing w:before="120" w:after="120"/>
      <w:ind w:left="284" w:hanging="284"/>
      <w:jc w:val="both"/>
    </w:pPr>
    <w:rPr>
      <w:b/>
      <w:bCs/>
      <w:caps/>
      <w:lang w:eastAsia="en-GB"/>
    </w:rPr>
  </w:style>
  <w:style w:type="paragraph" w:styleId="List3">
    <w:name w:val="List 3"/>
    <w:basedOn w:val="Normal"/>
    <w:rsid w:val="00CE50BA"/>
    <w:pPr>
      <w:ind w:left="849" w:hanging="283"/>
      <w:contextualSpacing/>
    </w:pPr>
  </w:style>
  <w:style w:type="paragraph" w:customStyle="1" w:styleId="SubheadL1">
    <w:name w:val="Subhead L1"/>
    <w:basedOn w:val="Normal"/>
    <w:locked/>
    <w:rsid w:val="00CE50BA"/>
    <w:pPr>
      <w:keepLines/>
      <w:spacing w:after="243"/>
      <w:jc w:val="both"/>
    </w:pPr>
    <w:rPr>
      <w:b/>
      <w:szCs w:val="20"/>
      <w:lang w:val="en-US" w:eastAsia="en-GB"/>
    </w:rPr>
  </w:style>
  <w:style w:type="paragraph" w:customStyle="1" w:styleId="H2">
    <w:name w:val="H2"/>
    <w:basedOn w:val="Normal"/>
    <w:next w:val="Normal"/>
    <w:rsid w:val="00D30715"/>
    <w:pPr>
      <w:keepNext/>
      <w:numPr>
        <w:ilvl w:val="1"/>
        <w:numId w:val="60"/>
      </w:numPr>
      <w:snapToGrid w:val="0"/>
      <w:spacing w:before="100" w:after="100"/>
      <w:jc w:val="both"/>
      <w:outlineLvl w:val="2"/>
    </w:pPr>
    <w:rPr>
      <w:rFonts w:ascii="Times New Roman" w:hAnsi="Times New Roman"/>
      <w:b/>
      <w:sz w:val="36"/>
      <w:szCs w:val="20"/>
    </w:rPr>
  </w:style>
  <w:style w:type="paragraph" w:customStyle="1" w:styleId="N3">
    <w:name w:val="N3"/>
    <w:basedOn w:val="Normal"/>
    <w:rsid w:val="00D30715"/>
    <w:pPr>
      <w:numPr>
        <w:ilvl w:val="2"/>
        <w:numId w:val="60"/>
      </w:numPr>
      <w:spacing w:before="80" w:line="220" w:lineRule="atLeast"/>
      <w:jc w:val="both"/>
    </w:pPr>
    <w:rPr>
      <w:rFonts w:ascii="Times New Roman" w:hAnsi="Times New Roman"/>
      <w:sz w:val="21"/>
      <w:szCs w:val="20"/>
    </w:rPr>
  </w:style>
  <w:style w:type="paragraph" w:customStyle="1" w:styleId="N4">
    <w:name w:val="N4"/>
    <w:basedOn w:val="N3"/>
    <w:rsid w:val="00D30715"/>
    <w:pPr>
      <w:numPr>
        <w:ilvl w:val="3"/>
      </w:numPr>
    </w:pPr>
  </w:style>
  <w:style w:type="paragraph" w:customStyle="1" w:styleId="N5">
    <w:name w:val="N5"/>
    <w:basedOn w:val="N4"/>
    <w:rsid w:val="00D30715"/>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2148">
      <w:bodyDiv w:val="1"/>
      <w:marLeft w:val="0"/>
      <w:marRight w:val="0"/>
      <w:marTop w:val="0"/>
      <w:marBottom w:val="0"/>
      <w:divBdr>
        <w:top w:val="none" w:sz="0" w:space="0" w:color="auto"/>
        <w:left w:val="none" w:sz="0" w:space="0" w:color="auto"/>
        <w:bottom w:val="none" w:sz="0" w:space="0" w:color="auto"/>
        <w:right w:val="none" w:sz="0" w:space="0" w:color="auto"/>
      </w:divBdr>
    </w:div>
    <w:div w:id="16444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inance-ni.gov.uk/articles/list-public-bodies-which-ni-public-procurement-policy-applies" TargetMode="External"/><Relationship Id="rId4" Type="http://schemas.openxmlformats.org/officeDocument/2006/relationships/settings" Target="settings.xml"/><Relationship Id="rId9" Type="http://schemas.openxmlformats.org/officeDocument/2006/relationships/hyperlink" Target="https://www.finance-ni.gov.uk/publications/procurement-guidance-note-0112-contract-management-principl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5AE01-D050-482D-A45E-B73AE964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INI NEWRY - PQQ REPORT</vt:lpstr>
    </vt:vector>
  </TitlesOfParts>
  <Company>NICS</Company>
  <LinksUpToDate>false</LinksUpToDate>
  <CharactersWithSpaces>16967</CharactersWithSpaces>
  <SharedDoc>false</SharedDoc>
  <HLinks>
    <vt:vector size="12" baseType="variant">
      <vt:variant>
        <vt:i4>917585</vt:i4>
      </vt:variant>
      <vt:variant>
        <vt:i4>3</vt:i4>
      </vt:variant>
      <vt:variant>
        <vt:i4>0</vt:i4>
      </vt:variant>
      <vt:variant>
        <vt:i4>5</vt:i4>
      </vt:variant>
      <vt:variant>
        <vt:lpwstr>https://www.finance-ni.gov.uk/articles/list-public-bodies-which-ni-public-procurement-policy-applies</vt:lpwstr>
      </vt:variant>
      <vt:variant>
        <vt:lpwstr/>
      </vt:variant>
      <vt:variant>
        <vt:i4>6684731</vt:i4>
      </vt:variant>
      <vt:variant>
        <vt:i4>0</vt:i4>
      </vt:variant>
      <vt:variant>
        <vt:i4>0</vt:i4>
      </vt:variant>
      <vt:variant>
        <vt:i4>5</vt:i4>
      </vt:variant>
      <vt:variant>
        <vt:lpwstr>https://www.finance-ni.gov.uk/publications/procurement-guidance-note-0112-contract-management-principles-and-procedures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 NEWRY - PQQ REPORT</dc:title>
  <dc:subject/>
  <dc:creator>M Woods</dc:creator>
  <cp:keywords/>
  <cp:lastModifiedBy>Deirdre McKeown</cp:lastModifiedBy>
  <cp:revision>2</cp:revision>
  <cp:lastPrinted>2018-02-16T14:48:00Z</cp:lastPrinted>
  <dcterms:created xsi:type="dcterms:W3CDTF">2018-03-01T15:15:00Z</dcterms:created>
  <dcterms:modified xsi:type="dcterms:W3CDTF">2018-03-01T15:15:00Z</dcterms:modified>
</cp:coreProperties>
</file>